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Intoxicating Drinks</w:t>
      </w:r>
    </w:p>
    <w:p>
      <w:pPr>
        <w:pStyle w:val="Author"/>
        <w:bidi w:val="false"/>
      </w:pPr>
      <w:r>
        <w:t xml:space="preserve">Bahá’u’lláh, Abdu'l-Baha,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nhwucblqtmo0ceb04ez0s"/>
      <w:r>
        <w:rPr>
          <w:rtl w:val="false"/>
        </w:rPr>
        <w:t xml:space="preserve">Intoxicating Drinks</w:t>
      </w:r>
    </w:p>
    <w:p>
      <w:pPr>
        <w:pStyle w:val="Normal"/>
        <w:bidi w:val="false"/>
      </w:pPr>
      <w:r>
        <w:rPr>
          <w:i/>
          <w:iCs/>
          <w:rtl w:val="false"/>
        </w:rPr>
        <w:t xml:space="preserve">“It is inadmissible that man, who hath been endowed with reason, should consume that which stealeth it away. Nay, rather it behooveth him to comport himself in a manner worthy of the human station, and not in accordance with the misdeeds of every heedless and wavering soul.” </w:t>
      </w:r>
      <w:r>
        <w:rPr>
          <w:rStyle w:val="FootnoteAnchor"/>
        </w:rPr>
        <w:footnoteReference w:id="1"/>
      </w:r>
    </w:p>
    <w:p>
      <w:pPr>
        <w:pStyle w:val="Normal"/>
        <w:bidi w:val="false"/>
      </w:pPr>
      <w:r>
        <w:rPr>
          <w:i/>
          <w:iCs/>
          <w:rtl w:val="false"/>
        </w:rPr>
        <w:t xml:space="preserve">“The Mystic Wine of the one true God hath a different intoxication and imparteth another exhilaration. The one diminisheth the intelligence of man, the other increaseth it. The one leadeth to perdition, the other bestoweth life.” </w:t>
      </w:r>
      <w:r>
        <w:rPr>
          <w:rStyle w:val="FootnoteAnchor"/>
        </w:rPr>
        <w:footnoteReference w:id="2"/>
      </w:r>
    </w:p>
    <w:p>
      <w:pPr>
        <w:pStyle w:val="Normal"/>
        <w:bidi w:val="false"/>
      </w:pPr>
      <w:r>
        <w:rPr>
          <w:i/>
          <w:iCs/>
          <w:rtl w:val="false"/>
        </w:rPr>
        <w:t xml:space="preserve">“Drink ye, O handmaidens of God,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 </w:t>
      </w:r>
      <w:r>
        <w:rPr>
          <w:rStyle w:val="FootnoteAnchor"/>
        </w:rPr>
        <w:footnoteReference w:id="3"/>
      </w:r>
    </w:p>
    <w:p>
      <w:pPr>
        <w:pStyle w:val="Normal"/>
        <w:bidi w:val="false"/>
      </w:pPr>
      <w:r>
        <w:rPr>
          <w:i/>
          <w:iCs/>
          <w:rtl w:val="false"/>
        </w:rPr>
        <w:t xml:space="preserve">“Fear ye God, O people of the earth, and think not that the wine We have mentioned in Our Tablet is the wine which men drink, and which causeth their intelligence to pass away, their human nature to be perverted, their light to be changed, and their purity to be soiled. Our intention is indeed that wine which intensifieth man's love for God, for His Chosen Ones and for His loved ones, and igniteth in the hearts the fire of God and love for Him, and glorification and praise of Him. So potent is this wine that a drop thereof will attract him who drinketh it to the court of His sanctity and nearness, and will enable him to attain the presence of God, the King, the Glorious, the Most Beauteous. It is a wine that blotteth out from the hearts of the true lovers all suggestions of limitation, establisheth the truth of the signs of His oneness and divine unity, and leadeth them to the Tabernacle of the Well-Beloved, in the presence of God, the Sovereign Lord, the Self-Subsisting, the All-Forgiving, the All-Generous. We meant by this Wine, the River of God, and His favour, the fountain of His living waters, and the Mystic Wine and its divine grace, even as it was revealed in the Qur'an, if ye are of those who understand. He said, and how true is His utterance: "A wine delectable to those who drink it." And He had no purpose in this but the wine We have mentioned to you, O people of certitude!</w:t>
      </w:r>
    </w:p>
    <w:p>
      <w:pPr>
        <w:pStyle w:val="Normal"/>
        <w:bidi w:val="false"/>
      </w:pPr>
      <w:r>
        <w:rPr>
          <w:i/>
          <w:iCs/>
          <w:rtl w:val="false"/>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 </w:t>
      </w:r>
      <w:r>
        <w:rPr>
          <w:rStyle w:val="FootnoteAnchor"/>
        </w:rPr>
        <w:footnoteReference w:id="4"/>
      </w:r>
    </w:p>
    <w:p>
      <w:pPr>
        <w:pStyle w:val="Normal"/>
        <w:bidi w:val="false"/>
      </w:pPr>
      <w:r>
        <w:rPr>
          <w:rtl w:val="false"/>
        </w:rPr>
        <w:t xml:space="preserve">“Regarding the use of liquor: According to the text of the Book of Aqdas, both light and strong drinks are prohibited. The reason for this prohibition is that alcohol leadeth the mind astray and causeth the weakening of the body. </w:t>
      </w:r>
      <w:r>
        <w:rPr>
          <w:b/>
          <w:bCs/>
          <w:rtl w:val="false"/>
        </w:rPr>
        <w:t xml:space="preserve">If alcohol were beneficial, it would have been brought into the world by the divine creation and not by the effort of man. Whatever is beneficial for man existeth in creation.</w:t>
      </w:r>
      <w:r>
        <w:rPr>
          <w:rtl w:val="false"/>
        </w:rPr>
        <w:t xml:space="preserve"> Now it hath been proved and is established medically and scientifically that liquor is harmful. As to the meaning of that which is written in the Tablets: </w:t>
      </w:r>
      <w:r>
        <w:rPr>
          <w:i/>
          <w:iCs/>
          <w:rtl w:val="false"/>
        </w:rPr>
        <w:t xml:space="preserve">"I have chosen for thee whatsoever is in the heaven and the earth"</w:t>
      </w:r>
      <w:r>
        <w:rPr>
          <w:rtl w:val="false"/>
        </w:rPr>
        <w:t xml:space="preserve">,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 In brief, I hope that thou mayest become inebriated with the wine of the love of God, find eternal bliss and receive inexhaustible joy and happiness. All wine hath depression as an after-effect, except the wine of the Love of God.” </w:t>
      </w:r>
      <w:r>
        <w:rPr>
          <w:rStyle w:val="FootnoteAnchor"/>
        </w:rPr>
        <w:footnoteReference w:id="5"/>
      </w:r>
    </w:p>
    <w:p>
      <w:pPr>
        <w:pStyle w:val="Normal"/>
        <w:bidi w:val="false"/>
      </w:pPr>
      <w:r>
        <w:rPr>
          <w:rtl w:val="false"/>
        </w:rPr>
        <w:t xml:space="preserve">“Intellect and the faculty of comprehension are God's gifts whereby man is distinguished from other animals. Will a wise man want to lose this Light in the darkness of intoxication? No, by God! This will not satisfy him! He will, rather, do that which will develop his powers of intelligence and understanding, and not increase his negligence, heedlessness and decline. This is an explicit text in the perspicuous Book, wherein God hath set forth every goodly virtue, and exposed every reprehensible act.” </w:t>
      </w:r>
      <w:r>
        <w:rPr>
          <w:rStyle w:val="FootnoteAnchor"/>
        </w:rPr>
        <w:footnoteReference w:id="6"/>
      </w:r>
    </w:p>
    <w:p>
      <w:pPr>
        <w:pStyle w:val="Normal"/>
        <w:bidi w:val="false"/>
      </w:pPr>
      <w:r>
        <w:rPr>
          <w:rtl w:val="false"/>
        </w:rPr>
        <w:t xml:space="preserve">“Concerning the use of alcoholic drinks and drugs the Guardian wishes you to know that they have been explicitly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r>
        <w:rPr>
          <w:rStyle w:val="FootnoteAnchor"/>
        </w:rPr>
        <w:footnoteReference w:id="7"/>
      </w:r>
    </w:p>
    <w:p>
      <w:pPr>
        <w:pStyle w:val="Normal"/>
        <w:bidi w:val="false"/>
      </w:pPr>
      <w:r>
        <w:rPr>
          <w:rtl w:val="false"/>
        </w:rPr>
        <w:t xml:space="preserve">"The wine mentioned in the Tablets has undoubtedly a spiritual meaning for in the book of Aqdas we are definitely forbidden to take not only wine, but everything that deranges the mind. In poetry as a whole wine is taken to have a different connotation than the ordinary intoxicating liquid. We see it thus used by the Persian Poets such as Sa'di and Umar Khayam and Hafiz to mean that element which nears man to his divine beloved, which makes him forget his material self so as better to seek his spiritual desires. It is very necessary to tell the children what this wine means so that they may not confuse it with the ordinary wine." </w:t>
      </w:r>
      <w:r>
        <w:rPr>
          <w:rStyle w:val="FootnoteAnchor"/>
        </w:rPr>
        <w:footnoteReference w:id="8"/>
      </w:r>
    </w:p>
    <w:p>
      <w:pPr>
        <w:pStyle w:val="Normal"/>
        <w:bidi w:val="false"/>
      </w:pPr>
      <w:r>
        <w:rPr>
          <w:b/>
          <w:bCs/>
          <w:rtl w:val="false"/>
        </w:rPr>
        <w:t xml:space="preserve">“The drinking of wine,"</w:t>
      </w:r>
      <w:r>
        <w:rPr>
          <w:rtl w:val="false"/>
        </w:rPr>
        <w:t xml:space="preserve"> writes Abdu'l-Baha, </w:t>
      </w:r>
      <w:r>
        <w:rPr>
          <w:b/>
          <w:bCs/>
          <w:rtl w:val="false"/>
        </w:rPr>
        <w:t xml:space="preserve">"is, according to the text of the Most Holy Book, forbidden; for it is the cause of chronic diseases, weakeneth the nerves, and consumeth the mind."</w:t>
      </w:r>
      <w:r>
        <w:rPr>
          <w:rtl w:val="false"/>
        </w:rPr>
        <w:t xml:space="preserve"> </w:t>
      </w:r>
      <w:r>
        <w:rPr>
          <w:i/>
          <w:iCs/>
          <w:rtl w:val="false"/>
        </w:rPr>
        <w:t xml:space="preserve">"Drink ye, O handmaidens of God," Baha'u'llah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 </w:t>
      </w:r>
      <w:r>
        <w:rPr>
          <w:rStyle w:val="FootnoteAnchor"/>
        </w:rPr>
        <w:footnoteReference w:id="9"/>
      </w:r>
    </w:p>
    <w:p>
      <w:pPr>
        <w:pStyle w:val="Normal"/>
        <w:bidi w:val="false"/>
      </w:pPr>
      <w:r>
        <w:rPr>
          <w:rtl w:val="false"/>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 We feel sure that your National Assembly will, with wisdom, loving kindness and determination succeed in uprooting this evil from your ranks and bring about the spiritual upliftment and advancement of the believers under your area of jurisdiction.” </w:t>
      </w:r>
      <w:r>
        <w:rPr>
          <w:rStyle w:val="FootnoteAnchor"/>
        </w:rPr>
        <w:footnoteReference w:id="10"/>
      </w:r>
    </w:p>
    <w:p>
      <w:pPr>
        <w:pStyle w:val="Normal"/>
        <w:bidi w:val="false"/>
      </w:pPr>
      <w:r>
        <w:rPr>
          <w:rtl w:val="false"/>
        </w:rPr>
        <w:t xml:space="preserve">“Alcohol should not be served at any reception, either at home or in a public place, at which you are host... We believe you should not use the term "cocktail party". The designation of either "tea" or "reception" would be preferable.” </w:t>
      </w:r>
      <w:r>
        <w:rPr>
          <w:rStyle w:val="FootnoteAnchor"/>
        </w:rPr>
        <w:footnoteReference w:id="11"/>
      </w:r>
    </w:p>
    <w:p>
      <w:pPr>
        <w:pStyle w:val="Normal"/>
        <w:bidi w:val="false"/>
      </w:pPr>
      <w:r>
        <w:rPr>
          <w:rtl w:val="false"/>
        </w:rPr>
        <w:t xml:space="preserve">“Such employments [Bahá'ís who are in the employment of non-Bahá'ís and whose employment involves the serving or selling of alcoholic beverages] cover a very wide range of degree of involvement, therefore it is left to the individual to decide whether or not he feels his employment violates the spirit of the Bahá'í law. In cases of doubt he can, of course, consult his Spiritual Assembly for advice. We have found no explicit text or instruction of the beloved Guardian on such a situation [the sale of alcoholic beverages by a business in which a Bahá'í is a partner with non-Bahá'ís]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a believer to evade the Bahá'í law, it should be left to the conscience of the believer concerned who should, of course, be informed of the Bahá'í teachings concerning alcohol and should make every effort to dissociate himself from such an activity. The above [paragraph] concerns Bahá'ís who are already in partnerships dealing in such matters. It is, however, obvious that a Bahá'í who is not in such a situation should not enter into it.” </w:t>
      </w:r>
      <w:r>
        <w:rPr>
          <w:rStyle w:val="FootnoteAnchor"/>
        </w:rPr>
        <w:footnoteReference w:id="12"/>
      </w:r>
    </w:p>
    <w:p>
      <w:pPr>
        <w:pStyle w:val="Normal"/>
        <w:bidi w:val="false"/>
      </w:pPr>
      <w:r>
        <w:rPr>
          <w:b/>
          <w:bCs/>
          <w:i/>
          <w:iCs/>
          <w:rtl w:val="false"/>
        </w:rPr>
        <w:t xml:space="preserve">“It is inadmissible that man, who hath been endowed with reason, should consume that which stealeth it away.</w:t>
      </w:r>
      <w:r>
        <w:rPr>
          <w:rtl w:val="false"/>
        </w:rPr>
        <w:t xml:space="preserve"> </w:t>
      </w:r>
      <w:r>
        <w:br/>
      </w:r>
      <w:r>
        <w:rPr>
          <w:rtl w:val="false"/>
        </w:rPr>
        <w:t xml:space="preserve">
There are many references in the Bahá’í Writings which prohibit the use of wine and other intoxicating drinks and which describe the deleterious effect of such intoxicants on the individual. In one of His Tablets, Baha’u’llah states:</w:t>
      </w:r>
    </w:p>
    <w:p>
      <w:pPr>
        <w:pStyle w:val="Normal"/>
        <w:bidi w:val="false"/>
      </w:pPr>
      <w:r>
        <w:rPr>
          <w:i/>
          <w:iCs/>
          <w:rtl w:val="false"/>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pStyle w:val="Normal"/>
        <w:bidi w:val="false"/>
      </w:pPr>
      <w:r>
        <w:rPr>
          <w:rtl w:val="false"/>
        </w:rPr>
        <w:t xml:space="preserve">Abdu’lBaha explains that the Aqdas prohibits </w:t>
      </w:r>
      <w:r>
        <w:rPr>
          <w:i/>
          <w:iCs/>
          <w:rtl w:val="false"/>
        </w:rPr>
        <w:t xml:space="preserve">“both light and strong drinks,”</w:t>
      </w:r>
      <w:r>
        <w:rPr>
          <w:rtl w:val="false"/>
        </w:rPr>
        <w:t xml:space="preserve"> and He states that the reason for prohibiting the use of alcoholic drinks is because </w:t>
      </w:r>
      <w:r>
        <w:rPr>
          <w:i/>
          <w:iCs/>
          <w:rtl w:val="false"/>
        </w:rPr>
        <w:t xml:space="preserve">“alcohol leadeth the mind astray and causeth the weakening of the body.”</w:t>
      </w:r>
    </w:p>
    <w:p>
      <w:pPr>
        <w:pStyle w:val="Normal"/>
        <w:bidi w:val="false"/>
      </w:pPr>
      <w:r>
        <w:rPr>
          <w:rtl w:val="false"/>
        </w:rPr>
        <w:t xml:space="preserve">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 </w:t>
      </w:r>
      <w:r>
        <w:rPr>
          <w:rStyle w:val="FootnoteAnchor"/>
        </w:rPr>
        <w:footnoteReference w:id="13"/>
      </w:r>
    </w:p>
    <w:p>
      <w:pPr>
        <w:pStyle w:val="Normal"/>
        <w:bidi w:val="false"/>
      </w:pPr>
      <w:r>
        <w:rPr>
          <w:b/>
          <w:bCs/>
          <w:rtl w:val="false"/>
        </w:rPr>
        <w:t xml:space="preserve">“the use of opium … any substance that induceth sluggishness and torpor</w:t>
      </w:r>
      <w:r>
        <w:rPr>
          <w:rtl w:val="false"/>
        </w:rPr>
        <w:t xml:space="preserve"> </w:t>
      </w:r>
      <w:r>
        <w:br/>
      </w:r>
      <w:r>
        <w:rPr>
          <w:rtl w:val="false"/>
        </w:rPr>
        <w:t xml:space="preserve">
This prohibition of the use of opium is reiterated by Baha’u’llah in the final paragraph of the Kitab-i-Aqdas.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pStyle w:val="Normal"/>
        <w:bidi w:val="false"/>
      </w:pPr>
      <w:r>
        <w:rPr>
          <w:rtl w:val="false"/>
        </w:rPr>
        <w:t xml:space="preserve">Abdu’lBaha has written:</w:t>
      </w:r>
      <w:r>
        <w:br/>
      </w:r>
      <w:r>
        <w:rPr>
          <w:i/>
          <w:iCs/>
          <w:rtl w:val="false"/>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pStyle w:val="Normal"/>
        <w:bidi w:val="false"/>
      </w:pPr>
      <w:r>
        <w:rPr>
          <w:i/>
          <w:iCs/>
          <w:rtl w:val="false"/>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pStyle w:val="Normal"/>
        <w:bidi w:val="false"/>
      </w:pPr>
      <w:r>
        <w:rPr>
          <w:rtl w:val="false"/>
        </w:rPr>
        <w:t xml:space="preserve">In one of His Tablets Abdu’lBaha has stated concerning opium: </w:t>
      </w:r>
      <w:r>
        <w:rPr>
          <w:i/>
          <w:iCs/>
          <w:rtl w:val="false"/>
        </w:rPr>
        <w:t xml:space="preserve">“the user, the buyer and the seller are all deprived of the bounty and grace of God.”</w:t>
      </w:r>
    </w:p>
    <w:p>
      <w:pPr>
        <w:pStyle w:val="Normal"/>
        <w:bidi w:val="false"/>
      </w:pPr>
      <w:r>
        <w:rPr>
          <w:rtl w:val="false"/>
        </w:rPr>
        <w:t xml:space="preserve">In yet another Tablet, Abdu’lBaha has written:</w:t>
      </w:r>
      <w:r>
        <w:br/>
      </w:r>
      <w:r>
        <w:rPr>
          <w:i/>
          <w:iCs/>
          <w:rtl w:val="false"/>
        </w:rPr>
        <w:t xml:space="preserve">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w:t>
      </w:r>
    </w:p>
    <w:p>
      <w:pPr>
        <w:pStyle w:val="Normal"/>
        <w:bidi w:val="false"/>
      </w:pPr>
      <w:r>
        <w:rPr>
          <w:i/>
          <w:iCs/>
          <w:rtl w:val="false"/>
        </w:rPr>
        <w:t xml:space="preserve">Alcohol consumeth the mind and causeth man to commit acts of absurdity, but this opium, this foul fruit of the infernal tree, and this wicked hashish extinguish the mind, freeze the spirit, petrify the soul, waste the body and leave man frustrated and lost.</w:t>
      </w:r>
    </w:p>
    <w:p>
      <w:pPr>
        <w:pStyle w:val="Normal"/>
        <w:bidi w:val="false"/>
      </w:pPr>
      <w:r>
        <w:rPr>
          <w:rtl w:val="false"/>
        </w:rPr>
        <w:t xml:space="preserve">It should be noted that the above prohibition against taking certain classes of drugs does not forbid their use when prescribed by qualified physicians as part of a medical treatment.” </w:t>
      </w:r>
      <w:r>
        <w:rPr>
          <w:rStyle w:val="FootnoteAnchor"/>
        </w:rPr>
        <w:footnoteReference w:id="1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nrlr8tlf2r2gt8li2evm"/>
      <w:r>
        <w:rPr>
          <w:rtl w:val="false"/>
        </w:rPr>
        <w:t xml:space="preserve">Babi Dispensation</w:t>
      </w:r>
    </w:p>
    <w:p>
      <w:pPr>
        <w:pStyle w:val="Normal"/>
        <w:bidi w:val="false"/>
      </w:pPr>
      <w:r>
        <w:rPr>
          <w:rtl w:val="false"/>
        </w:rPr>
        <w:t xml:space="preserve">The Bab prohibited drinking intoxicating drinks, their use as medicine as well as buying and selling them. See Persian Bayan, Wahid IX, Chapter XIII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lys4uav8gatu7vs87jup"/>
      <w:r>
        <w:rPr>
          <w:rtl w:val="false"/>
        </w:rPr>
        <w:t xml:space="preserve">Islamic Dispensation</w:t>
      </w:r>
    </w:p>
    <w:p>
      <w:pPr>
        <w:pStyle w:val="Normal"/>
        <w:bidi w:val="false"/>
      </w:pPr>
      <w:r>
        <w:rPr>
          <w:i/>
          <w:iCs/>
          <w:rtl w:val="false"/>
        </w:rPr>
        <w:t xml:space="preserve">“And from the fruits of date-palms and grapes, you obtain sugar and (other) wholesome foods. Indeed, there is a sign in it for those who have reason.” </w:t>
      </w:r>
      <w:r>
        <w:rPr>
          <w:rStyle w:val="FootnoteAnchor"/>
        </w:rPr>
        <w:footnoteReference w:id="15"/>
      </w:r>
    </w:p>
    <w:p>
      <w:pPr>
        <w:pStyle w:val="Normal"/>
        <w:bidi w:val="false"/>
      </w:pPr>
      <w:r>
        <w:rPr>
          <w:i/>
          <w:iCs/>
          <w:rtl w:val="false"/>
        </w:rPr>
        <w:t xml:space="preserve">“They ask you ˹O Prophet˺ about intoxicants and gambling. Say, “There is great evil in both, as well as some benefit for people—but the evil outweighs the benefit” </w:t>
      </w:r>
      <w:r>
        <w:rPr>
          <w:rStyle w:val="FootnoteAnchor"/>
        </w:rPr>
        <w:footnoteReference w:id="16"/>
      </w:r>
    </w:p>
    <w:p>
      <w:pPr>
        <w:pStyle w:val="Normal"/>
        <w:bidi w:val="false"/>
      </w:pPr>
      <w:r>
        <w:rPr>
          <w:i/>
          <w:iCs/>
          <w:rtl w:val="false"/>
        </w:rPr>
        <w:t xml:space="preserve">“O believers! Do not approach prayer while intoxicated until you are aware of what you say, nor in a state of ˹full˺ impurity” </w:t>
      </w:r>
      <w:r>
        <w:rPr>
          <w:rStyle w:val="FootnoteAnchor"/>
        </w:rPr>
        <w:footnoteReference w:id="17"/>
      </w:r>
    </w:p>
    <w:p>
      <w:pPr>
        <w:pStyle w:val="Normal"/>
        <w:bidi w:val="false"/>
      </w:pPr>
      <w:r>
        <w:rPr>
          <w:i/>
          <w:iCs/>
          <w:rtl w:val="false"/>
        </w:rPr>
        <w:t xml:space="preserve">“O believers! Intoxicants, gambling, idols, and drawing lots for decisions are all evil of Satan’s handiwork. So shun them so you may be successful.” </w:t>
      </w:r>
      <w:r>
        <w:rPr>
          <w:rStyle w:val="FootnoteAnchor"/>
        </w:rPr>
        <w:footnoteReference w:id="18"/>
      </w:r>
    </w:p>
    <w:p>
      <w:pPr>
        <w:pStyle w:val="Heading3"/>
        <w:pStyle w:val="Heading3"/>
        <w:bidi w:val="false"/>
      </w:pPr>
      <w:hyperlink w:history="1" r:id="rIdtqbddkonxebolpgfedtie"/>
      <w:r>
        <w:rPr>
          <w:rtl w:val="false"/>
        </w:rPr>
        <w:t xml:space="preserve">Christian &amp; Jewish Dispensation</w:t>
      </w:r>
    </w:p>
    <w:p>
      <w:pPr>
        <w:pStyle w:val="Normal"/>
        <w:bidi w:val="false"/>
      </w:pPr>
      <w:r>
        <w:rPr>
          <w:rtl w:val="false"/>
        </w:rPr>
        <w:t xml:space="preserve">The Holy Bible does not prohibit alcohol but warns against excessive drinking. See Psalm 104:15 and Ephesians 5:18 and Matthew 26:27-29 and Galatians 5:22-23</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6w6tycd89-8hv5pbpy0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0kiodatz4zxaoccodeg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119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from a Tablet - translated from the Persian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Quoted in The Advent of Divine Justice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Lawh Ram “Wine”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Abdul-Baha, from a Tablet- translated from the Persian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Abdul-Baha, from a Tablet- translated from the Arabic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On behalf of Shoghi Effendi, Dawn of a New Day, December 27, 1933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On behalf of Shoghi Effendi, Lights of Divine Guidance (vol2), pp. 9-10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Shoghi Effendi, Advent of Divine Justice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Extract from letter written by the Universal House of Justice dated 12 November 1965 to a National Spiritual Assembly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Extract from letter written by the Universal House of Justice dated 31 December 1967 to an individual believer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Extract from a memorandum dated 15 January 1976 to the International Teaching Centre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Notes to Kitab-i-Aqdas no. 144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Notes to Kitab-i-Aqdas no. 170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The Holy Qur’an, Al-Nahil 16:76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The Holy Qur’an, Al-Baqarah, 2:219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The Holy Qur’an, Al-Nisa, 4:43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The Holy Qur’an, Al-Maidah, 5:90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hwucblqtmo0ceb04ez0s" Type="http://schemas.openxmlformats.org/officeDocument/2006/relationships/hyperlink" Target="#intoxicating-drinks" TargetMode="External"/><Relationship Id="rIdrnrlr8tlf2r2gt8li2evm" Type="http://schemas.openxmlformats.org/officeDocument/2006/relationships/hyperlink" Target="#babi-dispensation" TargetMode="External"/><Relationship Id="rIdslys4uav8gatu7vs87jup" Type="http://schemas.openxmlformats.org/officeDocument/2006/relationships/hyperlink" Target="#islamic-dispensation" TargetMode="External"/><Relationship Id="rIdtqbddkonxebolpgfedtie" Type="http://schemas.openxmlformats.org/officeDocument/2006/relationships/hyperlink" Target="#christian--jewish-dispensation" TargetMode="External"/><Relationship Id="rId9" Type="http://schemas.openxmlformats.org/officeDocument/2006/relationships/image" Target="media/t_2hoyykugyurqocstirg.png"/><Relationship Id="rId10" Type="http://schemas.openxmlformats.org/officeDocument/2006/relationships/image" Target="media/7nft-61jg69izzphphsgo.png"/><Relationship Id="rId11" Type="http://schemas.openxmlformats.org/officeDocument/2006/relationships/image" Target="media/ihz7kvjh3iwnf18eqmljj.png"/><Relationship Id="rId12" Type="http://schemas.openxmlformats.org/officeDocument/2006/relationships/image" Target="media/i0b6md4v-lc9o3gy8nzrd.png"/></Relationships>
</file>

<file path=word/_rels/footer1.xml.rels><?xml version="1.0" encoding="UTF-8"?><Relationships xmlns="http://schemas.openxmlformats.org/package/2006/relationships"><Relationship Id="rId0" Type="http://schemas.openxmlformats.org/officeDocument/2006/relationships/image" Target="media/53eeiist2azjox-taj1ij.png"/><Relationship Id="rId1" Type="http://schemas.openxmlformats.org/officeDocument/2006/relationships/image" Target="media/oazomx4dyziipqnlyzxcm.png"/></Relationships>
</file>

<file path=word/_rels/footer2.xml.rels><?xml version="1.0" encoding="UTF-8"?><Relationships xmlns="http://schemas.openxmlformats.org/package/2006/relationships"><Relationship Id="rIdo6w6tycd89-8hv5pbpy0h" Type="http://schemas.openxmlformats.org/officeDocument/2006/relationships/hyperlink" Target="https://oceanoflights.org/011-for-intoxicating-drinks-en" TargetMode="External"/><Relationship Id="rId20kiodatz4zxaoccodegt" Type="http://schemas.openxmlformats.org/officeDocument/2006/relationships/hyperlink" Target="https://oceanoflights.org" TargetMode="External"/><Relationship Id="rId0" Type="http://schemas.openxmlformats.org/officeDocument/2006/relationships/image" Target="media/fh9t2q3gxj_1c69h2uo6l.png"/><Relationship Id="rId1" Type="http://schemas.openxmlformats.org/officeDocument/2006/relationships/image" Target="media/ewyksiaxa78hwfrd5y7ze.png"/><Relationship Id="rId2" Type="http://schemas.openxmlformats.org/officeDocument/2006/relationships/image" Target="media/jpzzrjo9r827yxcswcdn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k_xfem2r4ybd8tg8l06n.png"/><Relationship Id="rId1" Type="http://schemas.openxmlformats.org/officeDocument/2006/relationships/image" Target="media/cxo9jszmxcrn4olxoatfg.png"/></Relationships>
</file>

<file path=word/_rels/header2.xml.rels><?xml version="1.0" encoding="UTF-8"?><Relationships xmlns="http://schemas.openxmlformats.org/package/2006/relationships"><Relationship Id="rId0" Type="http://schemas.openxmlformats.org/officeDocument/2006/relationships/image" Target="media/gyj79etyniq6wnzmn_wst.png"/><Relationship Id="rId1" Type="http://schemas.openxmlformats.org/officeDocument/2006/relationships/image" Target="media/a-ujxo3jmyr5knuxzvem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Intoxicating Drinks</dc:title>
  <dc:creator>Ocean of Lights</dc:creator>
  <cp:lastModifiedBy>Ocean of Lights</cp:lastModifiedBy>
  <cp:revision>1</cp:revision>
  <dcterms:created xsi:type="dcterms:W3CDTF">2025-05-16T11:07:49.727Z</dcterms:created>
  <dcterms:modified xsi:type="dcterms:W3CDTF">2025-05-16T11:07:49.727Z</dcterms:modified>
</cp:coreProperties>
</file>

<file path=docProps/custom.xml><?xml version="1.0" encoding="utf-8"?>
<Properties xmlns="http://schemas.openxmlformats.org/officeDocument/2006/custom-properties" xmlns:vt="http://schemas.openxmlformats.org/officeDocument/2006/docPropsVTypes"/>
</file>