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نهی از دخول در خزينه حمّامهای ايرانی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دخول در خزینه حمّامهای ایرانی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ادخلوا مآء بكرا والمستعمل منه لا يجوز الدّخول فيه إيّاكم أن تقربوا خزآئن حمّامات العجم من قصدها وجد رآئحتها المنتنة قبل وروده فيها تجنّبوا يا قوم ولا تكوننّ من الصّاغرين õ إنّه يشبه بالصّديد والغسلين إن أنتم من العارفين õ وكذلك حياضهم المنتنة اتركوها وكونوا من المقدّسين õ إنّا أردنا أن نراكم مظاهر الفردوس في الأرض ليتضوّع منكم ما تفرح به أفئدة المقرّبين õ والّذي يصبّ عليه المآء ويغسل به بدنه خير له ويكفيه عن الدّخول إنّه أراد أن يسهّل عليكم الأمور فضلا من عنده لتكونوا من الشّاكرين " (كتاب اقدس – بند 106)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جمال مبارک ورود به خزينه حمّامهای عمومی را که در ايران معمول بود منع فرموده‌اند . رسم متداول اين بوده که تعداد زيادی از مردم خود را در اين خزينه ها می شستند و چون آب آنها مدّتی مديد عوض نميشد ، بر اثر کثرت استعمال رنگ آن تغيير می کرد ، متعفّن می شد و سبب اشمئزاز می گرديد و مخالف بهداشت بود . " (كتاب اقدس – شرح 131)</w:t>
      </w:r>
    </w:p>
    <w:p>
      <w:pPr>
        <w:pStyle w:val="RtlNormal"/>
        <w:bidi/>
      </w:pPr>
      <w:r>
        <w:rPr>
          <w:rtl/>
        </w:rPr>
        <w:t xml:space="preserve">2 - " در حياط اغلب خانه های ايران حوض آبی موجود بود که از آب آن جهت نظافت ، شست و شو و ساير امور خانه استفاده می کردند . چون آب اين حوضها راکد بود و هفته ها عوض نميشد ، معمولاً متعفّن می گرديد . "</w:t>
      </w:r>
    </w:p>
    <w:p>
      <w:pPr>
        <w:pStyle w:val="RtlNormal"/>
        <w:bidi/>
      </w:pPr>
      <w:r>
        <w:rPr>
          <w:rtl/>
        </w:rPr>
        <w:t xml:space="preserve">(كتاب اقدس – شرح 132)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ehln7tyk_1jykjajqxv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sd6bjhbcuio-vbmcvji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wxtxxlaefx4gvnkw7eju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8zznslwj3opw75wnrhwf.png"/><Relationship Id="rId1" Type="http://schemas.openxmlformats.org/officeDocument/2006/relationships/image" Target="media/fhof0tkuxwapuvhmederv.png"/></Relationships>
</file>

<file path=word/_rels/footer2.xml.rels><?xml version="1.0" encoding="UTF-8"?><Relationships xmlns="http://schemas.openxmlformats.org/package/2006/relationships"><Relationship Id="rIdqehln7tyk_1jykjajqxvn" Type="http://schemas.openxmlformats.org/officeDocument/2006/relationships/hyperlink" Target="https://oceanoflights.org/025-for-use-of-public-pools-in-persian-baths-fa" TargetMode="External"/><Relationship Id="rIdcsd6bjhbcuio-vbmcvjit" Type="http://schemas.openxmlformats.org/officeDocument/2006/relationships/hyperlink" Target="https://oceanoflights.org" TargetMode="External"/><Relationship Id="rId0" Type="http://schemas.openxmlformats.org/officeDocument/2006/relationships/image" Target="media/vs5prqiot_1gqvs4q5xmi.png"/><Relationship Id="rId1" Type="http://schemas.openxmlformats.org/officeDocument/2006/relationships/image" Target="media/ehknplgd-smdzuilcwmbi.png"/><Relationship Id="rId2" Type="http://schemas.openxmlformats.org/officeDocument/2006/relationships/image" Target="media/xuydzchq6fikqf-uzan9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pmjpn-l2znyz4rhhbk5a.png"/><Relationship Id="rId1" Type="http://schemas.openxmlformats.org/officeDocument/2006/relationships/image" Target="media/kqdcrmrisvhzfknqdzpd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sjfrcu44zc35ml4uhiar.png"/><Relationship Id="rId1" Type="http://schemas.openxmlformats.org/officeDocument/2006/relationships/image" Target="media/c6jchzgmsvwqko-yslgq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نهی از دخول در خزينه حمّامهای ايرانی</dc:title>
  <dc:creator>Ocean of Lights</dc:creator>
  <cp:lastModifiedBy>Ocean of Lights</cp:lastModifiedBy>
  <cp:revision>1</cp:revision>
  <dcterms:created xsi:type="dcterms:W3CDTF">2024-07-02T20:52:01.791Z</dcterms:created>
  <dcterms:modified xsi:type="dcterms:W3CDTF">2024-07-02T20:52:01.791Z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