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Teach and Propagate the Faith After the Ascension of Its Founder</w:t>
      </w:r>
    </w:p>
    <w:p>
      <w:pPr>
        <w:pStyle w:val="Author"/>
        <w:bidi w:val="false"/>
      </w:pPr>
      <w:r>
        <w:t xml:space="preserve">Bahá’u’lláh,  Abdu'l-Baha</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4ub20yzfub_p5tndmhtbi"/>
      <w:r>
        <w:rPr>
          <w:rtl w:val="false"/>
        </w:rPr>
        <w:t xml:space="preserve">To Teach and Propagate the Faith After the Ascension of Its Founder</w:t>
      </w:r>
    </w:p>
    <w:p>
      <w:pPr>
        <w:pStyle w:val="Normal"/>
        <w:bidi w:val="false"/>
      </w:pPr>
      <w:r>
        <w:rPr>
          <w:i/>
          <w:iCs/>
          <w:rtl w:val="false"/>
        </w:rPr>
        <w:t xml:space="preserve">“Be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r>
        <w:rPr>
          <w:rStyle w:val="FootnoteAnchor"/>
        </w:rPr>
        <w:footnoteReference w:id="1"/>
      </w:r>
    </w:p>
    <w:p>
      <w:pPr>
        <w:pStyle w:val="Normal"/>
        <w:bidi w:val="false"/>
      </w:pPr>
      <w:r>
        <w:rPr>
          <w:i/>
          <w:iCs/>
          <w:rtl w:val="false"/>
        </w:rPr>
        <w:t xml:space="preserve">“Center your energies in the propagation of the Faith of God.” </w:t>
      </w:r>
      <w:r>
        <w:rPr>
          <w:rStyle w:val="FootnoteAnchor"/>
        </w:rPr>
        <w:footnoteReference w:id="2"/>
      </w:r>
    </w:p>
    <w:p>
      <w:pPr>
        <w:pStyle w:val="Normal"/>
        <w:bidi w:val="false"/>
      </w:pPr>
      <w:r>
        <w:rPr>
          <w:i/>
          <w:iCs/>
          <w:rtl w:val="false"/>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w:t>
      </w:r>
      <w:r>
        <w:rPr>
          <w:rStyle w:val="FootnoteAnchor"/>
        </w:rPr>
        <w:footnoteReference w:id="3"/>
      </w:r>
    </w:p>
    <w:p>
      <w:pPr>
        <w:pStyle w:val="Normal"/>
        <w:bidi w:val="false"/>
      </w:pPr>
      <w:r>
        <w:rPr>
          <w:i/>
          <w:iCs/>
          <w:rtl w:val="false"/>
        </w:rPr>
        <w:t xml:space="preserve">“The wise are they that speak not unless they obtain a hearing, even as the cup-bearer, who proffereth not his cup till he findeth a seeker, and the lover who crieth not out from the depths of his heart until he gazeth upon the beauty of his beloved.” </w:t>
      </w:r>
      <w:r>
        <w:rPr>
          <w:rStyle w:val="FootnoteAnchor"/>
        </w:rPr>
        <w:footnoteReference w:id="4"/>
      </w:r>
    </w:p>
    <w:p>
      <w:pPr>
        <w:pStyle w:val="Normal"/>
        <w:bidi w:val="false"/>
      </w:pPr>
      <w:r>
        <w:rPr>
          <w:i/>
          <w:iCs/>
          <w:rtl w:val="false"/>
        </w:rPr>
        <w:t xml:space="preserve">“It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explanation, the city of his own heart and guard it from the remembrance of all save God, and only then set out to subdue the cities of the hearts of others.” </w:t>
      </w:r>
      <w:r>
        <w:rPr>
          <w:rStyle w:val="FootnoteAnchor"/>
        </w:rPr>
        <w:footnoteReference w:id="5"/>
      </w:r>
    </w:p>
    <w:p>
      <w:pPr>
        <w:pStyle w:val="Normal"/>
        <w:bidi w:val="false"/>
      </w:pPr>
      <w:r>
        <w:rPr>
          <w:i/>
          <w:iCs/>
          <w:rtl w:val="false"/>
        </w:rPr>
        <w:t xml:space="preserve">“Proclaim unto men what He, Who speaketh the truth and is the Bearer of the Trust of God, hath bidden thee observe. My glory be with thee, O thou that callest upon My name, whose eyes are directed towards My court, and whose tongue uttereth the praise of thy Lord, the Beneficent.” </w:t>
      </w:r>
      <w:r>
        <w:rPr>
          <w:rStyle w:val="FootnoteAnchor"/>
        </w:rPr>
        <w:footnoteReference w:id="6"/>
      </w:r>
    </w:p>
    <w:p>
      <w:pPr>
        <w:pStyle w:val="Normal"/>
        <w:bidi w:val="false"/>
      </w:pPr>
      <w:r>
        <w:rPr>
          <w:i/>
          <w:iCs/>
          <w:rtl w:val="false"/>
        </w:rPr>
        <w:t xml:space="preserve">“Warn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 above all men, though no king be found who would turn his face towards Thee.” </w:t>
      </w:r>
      <w:r>
        <w:rPr>
          <w:rStyle w:val="FootnoteAnchor"/>
        </w:rPr>
        <w:footnoteReference w:id="7"/>
      </w:r>
    </w:p>
    <w:p>
      <w:pPr>
        <w:pStyle w:val="Normal"/>
        <w:bidi w:val="false"/>
      </w:pPr>
      <w:r>
        <w:rPr>
          <w:i/>
          <w:iCs/>
          <w:rtl w:val="false"/>
        </w:rPr>
        <w:t xml:space="preserve">“What “oppression” is more grievous than that a soul seeking the truth, and wishing to attain unto the knowledge of God, should know not where to go for it and from whom to seek it?” </w:t>
      </w:r>
      <w:r>
        <w:rPr>
          <w:rStyle w:val="FootnoteAnchor"/>
        </w:rPr>
        <w:footnoteReference w:id="8"/>
      </w:r>
    </w:p>
    <w:p>
      <w:pPr>
        <w:pStyle w:val="Normal"/>
        <w:bidi w:val="false"/>
      </w:pPr>
      <w:r>
        <w:rPr>
          <w:i/>
          <w:iCs/>
          <w:rtl w:val="false"/>
        </w:rPr>
        <w:t xml:space="preserve">“If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 </w:t>
      </w:r>
      <w:r>
        <w:rPr>
          <w:rStyle w:val="FootnoteAnchor"/>
        </w:rPr>
        <w:footnoteReference w:id="9"/>
      </w:r>
    </w:p>
    <w:p>
      <w:pPr>
        <w:pStyle w:val="Normal"/>
        <w:bidi w:val="false"/>
      </w:pPr>
      <w:r>
        <w:rPr>
          <w:i/>
          <w:iCs/>
          <w:rtl w:val="false"/>
        </w:rPr>
        <w:t xml:space="preserve">“If ye find one athirst, give him to drink from the chalice of Kawtha and Tasneen; and if ye find one endowed with an attentive ear, read unto him the verses of God, the mighty, the merciful, the compassionate! Unloose the tongue with excellent utterance, then admonish the people if ye find them advancing unto the sanctuary of God; otherwise abandon them unto themselves and forsake them in the abyss of hell. Beware lest ye scatter the pearls of inner significance before every barren, dumb one. Verily, the blind are deprived of witnessing the lights and are unable to distinguish between the stone and the holy, precious pearl. Verily, wert thou to read the most mighty, wonderful verses to the stone for a thousand years, will it understand, or will they take any effect therein? No! by thy Lord, the merciful, the clement! If thou readest all the verses of God unto the deaf, will he hear a single letter? No! Verily, by the beauty, the mighty, the ancient!” </w:t>
      </w:r>
      <w:r>
        <w:rPr>
          <w:rStyle w:val="FootnoteAnchor"/>
        </w:rPr>
        <w:footnoteReference w:id="10"/>
      </w:r>
    </w:p>
    <w:p>
      <w:pPr>
        <w:pStyle w:val="Normal"/>
        <w:bidi w:val="false"/>
      </w:pPr>
      <w:r>
        <w:rPr>
          <w:i/>
          <w:iCs/>
          <w:rtl w:val="false"/>
        </w:rPr>
        <w:t xml:space="preserve">“The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r>
        <w:rPr>
          <w:rStyle w:val="FootnoteAnchor"/>
        </w:rPr>
        <w:footnoteReference w:id="11"/>
      </w:r>
    </w:p>
    <w:p>
      <w:pPr>
        <w:pStyle w:val="Normal"/>
        <w:bidi w:val="false"/>
      </w:pPr>
      <w:r>
        <w:rPr>
          <w:i/>
          <w:iCs/>
          <w:rtl w:val="false"/>
        </w:rPr>
        <w:t xml:space="preserve">“If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 </w:t>
      </w:r>
      <w:r>
        <w:rPr>
          <w:rStyle w:val="FootnoteAnchor"/>
        </w:rPr>
        <w:footnoteReference w:id="12"/>
      </w:r>
    </w:p>
    <w:p>
      <w:pPr>
        <w:pStyle w:val="Normal"/>
        <w:bidi w:val="false"/>
      </w:pPr>
      <w:r>
        <w:rPr>
          <w:i/>
          <w:iCs/>
          <w:rtl w:val="false"/>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 Say: Teach ye the Cause of God, O people of Bahá, for God hath prescribed unto every one the duty of proclaiming His Message, and regardeth it as the most meritorious of all deeds. Such a deed is acceptable only when he that teacheth the Cause is already a firm believer in God, the Supreme Protector, the Gracious, the Almighty.” </w:t>
      </w:r>
      <w:r>
        <w:rPr>
          <w:rStyle w:val="FootnoteAnchor"/>
        </w:rPr>
        <w:footnoteReference w:id="13"/>
      </w:r>
    </w:p>
    <w:p>
      <w:pPr>
        <w:pStyle w:val="Normal"/>
        <w:bidi w:val="false"/>
      </w:pPr>
      <w:r>
        <w:rPr>
          <w:i/>
          <w:iCs/>
          <w:rtl w:val="false"/>
        </w:rPr>
        <w:t xml:space="preserve">“It is incumbent upon all men, each according to his ability, to refute the arguments of those that have attacked the Faith of God. Thus hath it been decreed by Him Who is the All-Powerful, the Almighty.​” </w:t>
      </w:r>
      <w:r>
        <w:rPr>
          <w:rStyle w:val="FootnoteAnchor"/>
        </w:rPr>
        <w:footnoteReference w:id="14"/>
      </w:r>
    </w:p>
    <w:p>
      <w:pPr>
        <w:pStyle w:val="Normal"/>
        <w:bidi w:val="false"/>
      </w:pPr>
      <w:r>
        <w:rPr>
          <w:i/>
          <w:iCs/>
          <w:rtl w:val="false"/>
        </w:rPr>
        <w:t xml:space="preserve">“Be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w:t>
      </w:r>
      <w:r>
        <w:rPr>
          <w:rStyle w:val="FootnoteAnchor"/>
        </w:rPr>
        <w:footnoteReference w:id="15"/>
      </w:r>
    </w:p>
    <w:p>
      <w:pPr>
        <w:pStyle w:val="Normal"/>
        <w:bidi w:val="false"/>
      </w:pPr>
      <w:r>
        <w:rPr>
          <w:rtl w:val="false"/>
        </w:rPr>
        <w:t xml:space="preserve">“And this is how to teach: with an eloquent tongue, a ready pen, a goodly character, pleasing words, and righteous ways and deeds.” </w:t>
      </w:r>
      <w:r>
        <w:rPr>
          <w:rStyle w:val="FootnoteAnchor"/>
        </w:rPr>
        <w:footnoteReference w:id="16"/>
      </w:r>
    </w:p>
    <w:p>
      <w:pPr>
        <w:pStyle w:val="Normal"/>
        <w:bidi w:val="false"/>
      </w:pPr>
      <w:r>
        <w:rPr>
          <w:rtl w:val="false"/>
        </w:rPr>
        <w:t xml:space="preserve">“Deliver to mankind this joyous message from the Bahá Realm.” </w:t>
      </w:r>
      <w:r>
        <w:rPr>
          <w:rStyle w:val="FootnoteAnchor"/>
        </w:rPr>
        <w:footnoteReference w:id="17"/>
      </w:r>
    </w:p>
    <w:p>
      <w:pPr>
        <w:pStyle w:val="Normal"/>
        <w:bidi w:val="false"/>
      </w:pPr>
      <w:r>
        <w:rPr>
          <w:rtl w:val="false"/>
        </w:rPr>
        <w:t xml:space="preserve">“Forsake every commemoration and thought in the cell of oblivion (i.e., forget everything) and confine thy days and time in preaching the Kingdom of God, spreading the teachings of God and igniting the lights of guidance in the hearts which are awaiting the Kingdom of God.” </w:t>
      </w:r>
      <w:r>
        <w:rPr>
          <w:rStyle w:val="FootnoteAnchor"/>
        </w:rPr>
        <w:footnoteReference w:id="18"/>
      </w:r>
    </w:p>
    <w:p>
      <w:pPr>
        <w:pStyle w:val="Normal"/>
        <w:bidi w:val="false"/>
      </w:pPr>
      <w:r>
        <w:rPr>
          <w:rtl w:val="false"/>
        </w:rPr>
        <w:t xml:space="preserve">“My dear friend! If thou didst know how dear thou art to ‘Abdu’l-Bahá, thou wouldst spread wings, and through excess of joy, soar and begin teaching all that country.” </w:t>
      </w:r>
      <w:r>
        <w:rPr>
          <w:rStyle w:val="FootnoteAnchor"/>
        </w:rPr>
        <w:footnoteReference w:id="19"/>
      </w:r>
    </w:p>
    <w:p>
      <w:pPr>
        <w:pStyle w:val="Normal"/>
        <w:bidi w:val="false"/>
      </w:pPr>
      <w:r>
        <w:rPr>
          <w:rtl w:val="false"/>
        </w:rPr>
        <w:t xml:space="preserve">“Reveal thou (or teach thou) the Word of God; be not grieved at the people's lack of hearing. Do thou sow the seed, and God will make it grow and the cloud (or rain) of mercy will develop it.” </w:t>
      </w:r>
      <w:r>
        <w:rPr>
          <w:rStyle w:val="FootnoteAnchor"/>
        </w:rPr>
        <w:footnoteReference w:id="20"/>
      </w:r>
    </w:p>
    <w:p>
      <w:pPr>
        <w:pStyle w:val="Normal"/>
        <w:bidi w:val="false"/>
      </w:pPr>
      <w:r>
        <w:rPr>
          <w:rtl w:val="false"/>
        </w:rPr>
        <w:t xml:space="preserve">“Truly, I say unto thee, to be engaged in diffusing the fragrance of God (teaching the Truth) for one hour of time is better than the dominion of the world and all therein; for the latter is mortal and temporary, while the former is permanent and endless.”</w:t>
      </w:r>
      <w:r>
        <w:rPr>
          <w:rStyle w:val="FootnoteAnchor"/>
        </w:rPr>
        <w:footnoteReference w:id="21"/>
      </w:r>
    </w:p>
    <w:p>
      <w:pPr>
        <w:pStyle w:val="Normal"/>
        <w:bidi w:val="false"/>
      </w:pPr>
      <w:r>
        <w:rPr>
          <w:b/>
          <w:bCs/>
          <w:rtl w:val="false"/>
        </w:rPr>
        <w:t xml:space="preserve">Compilation:</w:t>
      </w:r>
      <w:r>
        <w:rPr>
          <w:rtl w:val="false"/>
        </w:rPr>
        <w:t xml:space="preserve"> </w:t>
      </w:r>
      <w:hyperlink w:history="1" r:id="rIdy_h76cwxlsqt4hridzkhh">
        <w:r>
          <w:rPr>
            <w:rtl w:val="false"/>
            <w:rStyle w:val="Hyperlink"/>
          </w:rPr>
          <w:t xml:space="preserve">Guidelines for Teaching</w:t>
        </w:r>
      </w:hyperlink>
    </w:p>
    <w:p>
      <w:pPr>
        <w:pStyle w:val="Normal"/>
        <w:bidi w:val="false"/>
      </w:pPr>
      <w:r>
        <w:rPr>
          <w:b/>
          <w:bCs/>
          <w:rtl w:val="false"/>
        </w:rPr>
        <w:t xml:space="preserve">Other references:</w:t>
      </w:r>
      <w:r>
        <w:rPr>
          <w:rtl w:val="false"/>
        </w:rPr>
        <w:t xml:space="preserve"> Lights of Guidance 1977-2001</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86misjh6qht_b7nnt5n1"/>
      <w:r>
        <w:rPr>
          <w:rtl w:val="false"/>
        </w:rPr>
        <w:t xml:space="preserve">Babi Dispensation</w:t>
      </w:r>
    </w:p>
    <w:p>
      <w:pPr>
        <w:pStyle w:val="Normal"/>
        <w:bidi w:val="false"/>
      </w:pPr>
      <w:r>
        <w:rPr>
          <w:i/>
          <w:iCs/>
          <w:rtl w:val="false"/>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 </w:t>
      </w:r>
      <w:r>
        <w:rPr>
          <w:rStyle w:val="FootnoteAnchor"/>
        </w:rPr>
        <w:footnoteReference w:id="2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whzbfk47lwir74ajt_ja"/>
      <w:r>
        <w:rPr>
          <w:rtl w:val="false"/>
        </w:rPr>
        <w:t xml:space="preserve">Islamic Dispensation</w:t>
      </w:r>
    </w:p>
    <w:p>
      <w:pPr>
        <w:pStyle w:val="Normal"/>
        <w:bidi w:val="false"/>
      </w:pPr>
      <w:r>
        <w:rPr>
          <w:i/>
          <w:iCs/>
          <w:rtl w:val="false"/>
        </w:rPr>
        <w:t xml:space="preserve">“Those who convey the messages of Allah and fear Him and do not fear anyone except Allah. And sufficient is Allah as Accountant.” </w:t>
      </w:r>
      <w:r>
        <w:rPr>
          <w:rStyle w:val="FootnoteAnchor"/>
        </w:rPr>
        <w:footnoteReference w:id="23"/>
      </w:r>
    </w:p>
    <w:p>
      <w:pPr>
        <w:pStyle w:val="Normal"/>
        <w:bidi w:val="false"/>
      </w:pPr>
      <w:r>
        <w:rPr>
          <w:i/>
          <w:iCs/>
          <w:rtl w:val="false"/>
        </w:rPr>
        <w:t xml:space="preserve">“And We have not sent you, [O Muhammad], except as a bringer of good tidings and a warner.” </w:t>
      </w:r>
      <w:r>
        <w:rPr>
          <w:rStyle w:val="FootnoteAnchor"/>
        </w:rPr>
        <w:footnoteReference w:id="2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cikq4hayoovclto5vvpa"/>
      <w:r>
        <w:rPr>
          <w:rtl w:val="false"/>
        </w:rPr>
        <w:t xml:space="preserve">Christian Dispensation</w:t>
      </w:r>
    </w:p>
    <w:p>
      <w:pPr>
        <w:pStyle w:val="Normal"/>
        <w:bidi w:val="false"/>
      </w:pPr>
      <w:r>
        <w:rPr>
          <w:i/>
          <w:iCs/>
          <w:rtl w:val="false"/>
        </w:rPr>
        <w:t xml:space="preserve">“Therefore go and make disciples of all nations, baptizing them in the name of the Father and of the Son and of the Holy Spirit, and teaching them to obey everything I have commanded you. And surely I am with you always, to the very end of the age.” </w:t>
      </w:r>
      <w:r>
        <w:rPr>
          <w:rStyle w:val="FootnoteAnchor"/>
        </w:rPr>
        <w:footnoteReference w:id="25"/>
      </w:r>
    </w:p>
    <w:p>
      <w:pPr>
        <w:pStyle w:val="Normal"/>
        <w:bidi w:val="false"/>
      </w:pPr>
      <w:r>
        <w:rPr>
          <w:i/>
          <w:iCs/>
          <w:rtl w:val="false"/>
        </w:rPr>
        <w:t xml:space="preserve">“He said to them, “Go into all the world and preach the gospel to all creation.” </w:t>
      </w:r>
      <w:r>
        <w:rPr>
          <w:rStyle w:val="FootnoteAnchor"/>
        </w:rPr>
        <w:footnoteReference w:id="2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idq4cscka3pa4ds5h-we"/>
      <w:r>
        <w:rPr>
          <w:rtl w:val="false"/>
        </w:rPr>
        <w:t xml:space="preserve">Jewish Dispensation</w:t>
      </w:r>
    </w:p>
    <w:p>
      <w:pPr>
        <w:pStyle w:val="Normal"/>
        <w:bidi w:val="false"/>
      </w:pPr>
      <w:r>
        <w:rPr>
          <w:i/>
          <w:iCs/>
          <w:rtl w:val="false"/>
        </w:rPr>
        <w:t xml:space="preserve">“Impress them on your children. Talk about them when you sit at home and when you walk along the road, when you lie down and when you get up” </w:t>
      </w:r>
      <w:r>
        <w:rPr>
          <w:rStyle w:val="FootnoteAnchor"/>
        </w:rPr>
        <w:footnoteReference w:id="27"/>
      </w:r>
    </w:p>
    <w:p>
      <w:pPr>
        <w:pStyle w:val="Normal"/>
        <w:bidi w:val="false"/>
      </w:pPr>
      <w:r>
        <w:rPr>
          <w:i/>
          <w:iCs/>
          <w:rtl w:val="false"/>
        </w:rPr>
        <w:t xml:space="preserve">“Teach them his decrees and instructions, and show them the way they are to live and how they are to behave” </w:t>
      </w:r>
      <w:r>
        <w:rPr>
          <w:rStyle w:val="FootnoteAnchor"/>
        </w:rPr>
        <w:footnoteReference w:id="28"/>
      </w:r>
    </w:p>
    <w:p>
      <w:pPr>
        <w:pStyle w:val="Normal"/>
        <w:bidi w:val="false"/>
      </w:pPr>
      <w:r>
        <w:rPr>
          <w:i/>
          <w:iCs/>
          <w:rtl w:val="false"/>
        </w:rPr>
        <w:t xml:space="preserve">“Assemble the people, men, women, and little ones, and the sojourner within your towns, that they may hear and learn to fear the Lord your God, and be careful to do all the words of this law, and that their children, who have not known it, may hear and learn to fear the Lord your God, as long as you live in the land that you are going over the Jordan to possess” </w:t>
      </w:r>
      <w:r>
        <w:rPr>
          <w:rStyle w:val="FootnoteAnchor"/>
        </w:rPr>
        <w:footnoteReference w:id="2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hdw8h0982793ael0cd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cmlknr11bwqofw7odqm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Gleaning from the Writings of Baha’u’llah, no. XCVI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Tablet of Wisdom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Persian Hidden Words, no. 36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Lawh-i-Nasirid’d-Din Shah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Gleaning from the Writings of Baha’u’llah, no. C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Gleaning from the Writings of Baha’u’llah, no. CXVI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Baha’u’llah, Kitab-i-Iqan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Baha’u’llah, Gleaning from the Writings of Baha’u’llah, CLIV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Baha’u’llah, Baha’i World Faith, pp. 207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Baha’u’llah, Gleaning from the Writings of Baha’u’llah, no. CXXXIX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Baha’u’llah, Gleaning from the Writings of Baha’u’llah, no. C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Baha’u’llah, Gleanings from the Writings of Baha’u’llah no. CXXVIII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Baha’u’llah, Gleanings from the Writings of Baha’u’llah no. CLIV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Baha’u’llah, Gleanings from the Writings of Baha’u’llah no. CLXI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Abdu’l-Bahá, Memorials of the Faithful, pp. 127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Abdu’l-Bahá, Selections from the Writings of Abdu’l-Bahá, pp. 243-246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Abdu’l-Bahá, Tablets of Abdu’l-Bahá v3, p. 607-609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Abdu’l-Bahá, Tablets of Abdu’l-Bahá vol 2, pp. 336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Abdu’l-Bahá, Tablets of ‘Abdu’l-Bahá vol 1, pp. 209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Abdu’l-Bahá, Tablets of Abdu’l-Bahá vol 3, pp. 607-609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The Bab, Selections from the Writings of the Bab, Excerpts from the Persian Bayan, Wahid II, Chapter XVI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The Holy Qur’an, Al-Ahzab 33:39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The Holy Qur’an, Al-Furqan 25:56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The Holy Bible, Matthew 28:19-20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The Holy Bible, Mark 16:15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The Holy Bible, Deuteronomy 6:7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The Holy Bible, Exodus 18:20 </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The Holy Bible, Deuteronomy 31:12-13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ub20yzfub_p5tndmhtbi" Type="http://schemas.openxmlformats.org/officeDocument/2006/relationships/hyperlink" Target="#to-teach-and-propagate-the-faith-after-the-ascension-of-its-founder" TargetMode="External"/><Relationship Id="rIdy_h76cwxlsqt4hridzkhh" Type="http://schemas.openxmlformats.org/officeDocument/2006/relationships/hyperlink" Target="guidelines-for-teaching-en,table" TargetMode="External"/><Relationship Id="rIdd86misjh6qht_b7nnt5n1" Type="http://schemas.openxmlformats.org/officeDocument/2006/relationships/hyperlink" Target="#babi-dispensation" TargetMode="External"/><Relationship Id="rIdpwhzbfk47lwir74ajt_ja" Type="http://schemas.openxmlformats.org/officeDocument/2006/relationships/hyperlink" Target="#islamic-dispensation" TargetMode="External"/><Relationship Id="rIdgcikq4hayoovclto5vvpa" Type="http://schemas.openxmlformats.org/officeDocument/2006/relationships/hyperlink" Target="#christian-dispensation" TargetMode="External"/><Relationship Id="rIdvidq4cscka3pa4ds5h-we" Type="http://schemas.openxmlformats.org/officeDocument/2006/relationships/hyperlink" Target="#jewish-dispensation" TargetMode="External"/><Relationship Id="rId9" Type="http://schemas.openxmlformats.org/officeDocument/2006/relationships/image" Target="media/9maqubjqqeebump3q-dcg.png"/><Relationship Id="rId10" Type="http://schemas.openxmlformats.org/officeDocument/2006/relationships/image" Target="media/jco_a9zrd-9a2vhq98d7m.png"/><Relationship Id="rId11" Type="http://schemas.openxmlformats.org/officeDocument/2006/relationships/image" Target="media/wdv5lbiwbjruc-el6fb0h.png"/><Relationship Id="rId12" Type="http://schemas.openxmlformats.org/officeDocument/2006/relationships/image" Target="media/39bwbhiptgjkmmni0hyvl.png"/><Relationship Id="rId13" Type="http://schemas.openxmlformats.org/officeDocument/2006/relationships/image" Target="media/retu_5yomcsl6basvxxlg.png"/><Relationship Id="rId14" Type="http://schemas.openxmlformats.org/officeDocument/2006/relationships/image" Target="media/ogadetmhhe5x_i_lqblw4.png"/></Relationships>
</file>

<file path=word/_rels/footer1.xml.rels><?xml version="1.0" encoding="UTF-8"?><Relationships xmlns="http://schemas.openxmlformats.org/package/2006/relationships"><Relationship Id="rId0" Type="http://schemas.openxmlformats.org/officeDocument/2006/relationships/image" Target="media/pg80jzyorqwsvtka2rtb8.png"/><Relationship Id="rId1" Type="http://schemas.openxmlformats.org/officeDocument/2006/relationships/image" Target="media/xubgytrqa7sihik33bmex.png"/></Relationships>
</file>

<file path=word/_rels/footer2.xml.rels><?xml version="1.0" encoding="UTF-8"?><Relationships xmlns="http://schemas.openxmlformats.org/package/2006/relationships"><Relationship Id="rIdphdw8h0982793ael0cd3-" Type="http://schemas.openxmlformats.org/officeDocument/2006/relationships/hyperlink" Target="https://oceanoflights.org/032-ord-to-teach-and-propagate-the-faith-en" TargetMode="External"/><Relationship Id="rIdccmlknr11bwqofw7odqm6" Type="http://schemas.openxmlformats.org/officeDocument/2006/relationships/hyperlink" Target="https://oceanoflights.org" TargetMode="External"/><Relationship Id="rId0" Type="http://schemas.openxmlformats.org/officeDocument/2006/relationships/image" Target="media/8zqbg9t-zvdepoyjapz0c.png"/><Relationship Id="rId1" Type="http://schemas.openxmlformats.org/officeDocument/2006/relationships/image" Target="media/zqylt70lzzhwrlxb0rvg8.png"/><Relationship Id="rId2" Type="http://schemas.openxmlformats.org/officeDocument/2006/relationships/image" Target="media/17n2zh8t0s_swdnpbdal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cbmqrsi7tsrwg-9sdmyj.png"/><Relationship Id="rId1" Type="http://schemas.openxmlformats.org/officeDocument/2006/relationships/image" Target="media/sfh7tllh0egijr7xx4tvt.png"/></Relationships>
</file>

<file path=word/_rels/header2.xml.rels><?xml version="1.0" encoding="UTF-8"?><Relationships xmlns="http://schemas.openxmlformats.org/package/2006/relationships"><Relationship Id="rId0" Type="http://schemas.openxmlformats.org/officeDocument/2006/relationships/image" Target="media/05ztxgzw89-qo2s8rts5v.png"/><Relationship Id="rId1" Type="http://schemas.openxmlformats.org/officeDocument/2006/relationships/image" Target="media/ft1chgawrcowj-p4qf21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Teach and Propagate the Faith After the Ascension of Its Founder</dc:title>
  <dc:creator>Ocean of Lights</dc:creator>
  <cp:lastModifiedBy>Ocean of Lights</cp:lastModifiedBy>
  <cp:revision>1</cp:revision>
  <dcterms:created xsi:type="dcterms:W3CDTF">2025-06-13T08:24:43.583Z</dcterms:created>
  <dcterms:modified xsi:type="dcterms:W3CDTF">2025-06-13T08:24:43.583Z</dcterms:modified>
</cp:coreProperties>
</file>

<file path=docProps/custom.xml><?xml version="1.0" encoding="utf-8"?>
<Properties xmlns="http://schemas.openxmlformats.org/officeDocument/2006/custom-properties" xmlns:vt="http://schemas.openxmlformats.org/officeDocument/2006/docPropsVTypes"/>
</file>