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تقيّه و کتمان عقيده</w:t>
      </w:r>
    </w:p>
    <w:p>
      <w:pPr>
        <w:pStyle w:val="RtlAuthor"/>
        <w:bidi/>
      </w:pPr>
      <w:r>
        <w:t xml:space="preserve">حضرة بهاء 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تقيّه و کتمان عقيده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اگر چنانچه مجبور و مکلّف بر تعيين و قيد مذهب گردند البتّه کتمان ننمايند و به تظاهر و تصنّع متشبّث نشوند. عقيده خويش را در کمال جرأت و وضوح اظهار نمايند و از عواقب و نتائج بيان حقيقت و ابراز مافی الضّمير خائف و نگران نشوند. البتّه بعموم ياران تأکيد و توصيه نمايند تا از صراط مستقيم حقيقت و رشاد منحرف نگردند و بر حفظ مصالح امريّه و صيانت رفعت و منزلت امراللّه و اعزاز کلمة‌اللّه موفّق ومفتخر گردند. مداهنه و مسامحه در اين موارد مُخِلّ در نظام امراللّه و علّت توهين و تحقير دين اللّه گردد و توليد مشاکل متنوّعه عظيمه در آينده نمايد...". (ص ٢٠١منتخبات توقيعات مبارک)</w:t>
      </w:r>
    </w:p>
    <w:p>
      <w:pPr>
        <w:pStyle w:val="RtlNormal"/>
        <w:bidi/>
      </w:pPr>
      <w:r>
        <w:rPr>
          <w:rtl/>
        </w:rPr>
        <w:t xml:space="preserve">2 - " عقيده کتمان ننمايند و از تقيّه اجتناب بنمايند از پس پرده خفا برون آيند و قدم بميدان خدمت گذارند. مضطرب و هراسان نباشند و بجانفشانی قيام نمايند. هر امری را فدای اين مقصد اصلی کنند و در سبيل اين مبدأ جليل و امر قويم از هر منصب و مقامی چشم پوشند و مصالح شخصيّه و ملاحظات نفسيّه را فدای مصالح عموميّه امريّه فرمايند. حکمت و تقيّه در گذشته ايّام کافل صون و حفاظت و حمايت مظلومان آن سامان بود و يگانه وسيله حفظ و حراست آئين حضرت يزدان ولی دراين ايّام چون اعدای امر الهی و دشمنان آئين آسمانی بُرْقَع ستر و خفا را از وجه حقايق امريّه برانداخته اند و معتقدات اساسيّه اهل بها را کاملاً مکشوف و مشتهر ساخته اند و باثبات استقلال شرع حضرت بهاءاللّه پرداخته اند و باين سبب نبأ عظيم را در اقطار و اکناف عالَم معروف ومشهور نموده اند ،تقيّه و کتمان عقيده علّت توهين و تحقير است و در انظار اهل فراست بی مورد و مضرّ . مخالفين و معاندين اين رويّه را حمل بر جُبن و خوف نمايند و از تأثيرات سستی عقيده شمرند اَسْتَحْلِفُکُمْ يَا اَحِبَّاءَاللّهِ بِبَذْلِ الْجَهْدِ الْجَهْدِ وَ الْقِيَامِ عَلَی هَذَا الْاَمْرِ الْاَوْعَرِ الْخَطِيْرِ وَ التَّمَسُّکِ بِهَذَا الْحَبْلِ الْمَتِيْنِ وَالسُّلُوْکِ فِي هَذَا الْمَنْهَجِ الْقَوِيْمِ . جَعَلَکُمُ اللّهُ رَايَاتِ نَصْرِهِ وَ مَصَابِيْحَ هِدَايَتِهِ وَ مَشَاعِلَ حُبِّهِ وَ مَطَالِعَ اقْتِدَارِهِ فِي بِلَادِهِ "</w:t>
      </w:r>
    </w:p>
    <w:p>
      <w:pPr>
        <w:pStyle w:val="RtlNormal"/>
        <w:bidi/>
      </w:pPr>
      <w:r>
        <w:rPr>
          <w:rtl/>
        </w:rPr>
        <w:t xml:space="preserve">(ص ٤-٢٠٣ منتخبات توقيعات مبارک و ص ٦-١٥٥ ج ٢ توقيعات مبارکه)</w:t>
      </w:r>
    </w:p>
    <w:p>
      <w:pPr>
        <w:pStyle w:val="RtlNormal"/>
        <w:bidi/>
      </w:pPr>
      <w:r>
        <w:rPr>
          <w:rtl/>
        </w:rPr>
        <w:t xml:space="preserve">3 - " بهيچ وجه من الوجوه خود را تابع اديان سابقه و شرايع منسوخه معرّفی ننمايند و درامور اداری کما فی السّابق از مقرّرات حکومت و اوامر دولت سر موئی منحرف نگردند و تجاوز ننمايند ". (ص ٣٨٦ ج ٤ امر و خلق)</w:t>
      </w:r>
    </w:p>
    <w:p>
      <w:pPr>
        <w:pStyle w:val="RtlNormal"/>
        <w:bidi/>
      </w:pPr>
      <w:r>
        <w:rPr>
          <w:rtl/>
        </w:rPr>
        <w:t xml:space="preserve">4 - " احدی خود را مسلمان ،مسيحی ،کليمی و يا زردشتی ، معرّفی ننمايد.مسامحه و مساهله در اين مورد تبرّی از امراللّه است و تبرّی مُحْدِثِ انقلابی عظيم است وموجب خسرانی شديد زنهار زنهار ". (ص ٢٤٤ منتخبات توقيعات مبارک)</w:t>
      </w:r>
    </w:p>
    <w:p>
      <w:pPr>
        <w:pStyle w:val="RtlNormal"/>
        <w:bidi/>
      </w:pPr>
      <w:r>
        <w:rPr>
          <w:rtl/>
        </w:rPr>
        <w:t xml:space="preserve">5 - " کتمان عقيده در هر حال ودر هر موقعی مذموم و قبيح و مخالف مبادی ساميه اين امر خطير... در امور اداری چنانچه از قبل تأکيد و تصريح گشت اطاعت اوليای امور از فرائض حتميّه اهل بها و واجبات مقدّسه آنان محسوب ولی در امور وجدانيّه که تعلّق بمعتقدات دارد اهل بها و متمسّکين بشريعه مقدّسه سمحاء شهادت را بر اطاعت ترجيح دهند".</w:t>
      </w:r>
    </w:p>
    <w:p>
      <w:pPr>
        <w:pStyle w:val="RtlNormal"/>
        <w:bidi/>
      </w:pPr>
      <w:r>
        <w:rPr>
          <w:rtl/>
        </w:rPr>
        <w:t xml:space="preserve">(ص ٣٠-١٢٩ ج ٣ توقيعات مبارکه)</w:t>
      </w:r>
    </w:p>
    <w:p>
      <w:pPr>
        <w:pStyle w:val="RtlNormal"/>
        <w:bidi/>
      </w:pPr>
      <w:r>
        <w:rPr>
          <w:rtl/>
        </w:rPr>
        <w:t xml:space="preserve">6 - " در هر حال تقيّه و کتمان عقيده و مداهنه ممنوع و مذموم و بکلّی مخالف مصالح ومقتضيات امريّه است "</w:t>
      </w:r>
    </w:p>
    <w:p>
      <w:pPr>
        <w:pStyle w:val="RtlNormal"/>
        <w:bidi/>
      </w:pPr>
      <w:r>
        <w:rPr>
          <w:rtl/>
        </w:rPr>
        <w:t xml:space="preserve">(ص ١٢٧ ج ٣ توقيعات مبارکه)</w:t>
      </w:r>
    </w:p>
    <w:p>
      <w:pPr>
        <w:pStyle w:val="RtlNormal"/>
        <w:bidi/>
      </w:pPr>
      <w:r>
        <w:rPr>
          <w:rtl/>
        </w:rPr>
        <w:t xml:space="preserve">7 - " ميلانی طهران در موضوع سجلّ احوال از اکتمان احتراز نمائيد و بمراکز اطّلاع دهيد . شوقی ".</w:t>
      </w:r>
    </w:p>
    <w:p>
      <w:pPr>
        <w:pStyle w:val="RtlNormal"/>
        <w:bidi/>
      </w:pPr>
      <w:r>
        <w:rPr>
          <w:rtl/>
        </w:rPr>
        <w:t xml:space="preserve">(ص ٦-٣٨٥ ج ٤ امر و خلق)</w:t>
      </w:r>
    </w:p>
    <w:p>
      <w:pPr>
        <w:pStyle w:val="RtlNormal"/>
        <w:bidi/>
      </w:pPr>
      <w:r>
        <w:rPr>
          <w:rtl/>
        </w:rPr>
        <w:t xml:space="preserve">8 - " راجع به ستون مذهبی که در دفاتر مخصوص برای مستخدمين ترتيب داده شده فرمودند بنويس مقصد اصلی عدم ثبت کلمه اسلام و زردشتی و غيره است . سفيد گذاشتن و يا خط کشيدن دليل بر انحراف نه و مخالف صداقت نبوده و نيست ".</w:t>
      </w:r>
    </w:p>
    <w:p>
      <w:pPr>
        <w:pStyle w:val="RtlNormal"/>
        <w:bidi/>
      </w:pPr>
      <w:r>
        <w:rPr>
          <w:rtl/>
        </w:rPr>
        <w:t xml:space="preserve">(ص ١٤٩ ج ٣ توقيعات)</w:t>
      </w:r>
    </w:p>
    <w:p>
      <w:pPr>
        <w:pStyle w:val="RtlNormal"/>
        <w:bidi/>
      </w:pPr>
      <w:r>
        <w:rPr>
          <w:rtl/>
        </w:rPr>
        <w:t xml:space="preserve">9 - " مبدأ اصلی که اسّ اساس است وانحراف از آن قطعيّاً ممنوع عدم کتمان عقيده و ترک تقيّه و مداهنه با اوليای امور است "</w:t>
      </w:r>
    </w:p>
    <w:p>
      <w:pPr>
        <w:pStyle w:val="RtlNormal"/>
        <w:bidi/>
      </w:pPr>
      <w:r>
        <w:rPr>
          <w:rtl/>
        </w:rPr>
        <w:t xml:space="preserve">(ص ٢٤٥ منتخبات توقيعات مبارک)</w:t>
      </w:r>
    </w:p>
    <w:p>
      <w:pPr>
        <w:pStyle w:val="RtlNormal"/>
        <w:bidi/>
      </w:pPr>
      <w:r>
        <w:rPr>
          <w:rtl/>
        </w:rPr>
        <w:t xml:space="preserve">10 - " لهجه صراحت و شجاعت و صداقت ياران نتائج عظيمه در جامعه بخشد و علّت اشتهار آئين نازنين در آن سرزمين . هرچند از وظيفه منفصل و از استخدام محروم و بخسارت مادّی مبتلا ولی در حقيقت بکنز عظيم و سود بيکران فائز و مفتخر زيرا بمبادی قيّمه اين امر ناظرند و استقلال شرع مبين را مروّج و به حبل صداقت متمسّک و متشبّث ". (ص ٣٨٦ ج ٤ امر و خلق)</w:t>
      </w:r>
    </w:p>
    <w:p>
      <w:pPr>
        <w:pStyle w:val="RtlNormal"/>
        <w:bidi/>
      </w:pPr>
      <w:r>
        <w:rPr>
          <w:rtl/>
        </w:rPr>
        <w:t xml:space="preserve">11 - " هر نفسی دراين موارد عقيده را کتمان نمايد و يا آنکه از قبول رأی محفل استنکاف ورزد از حقّ انتخاب و عضويّت محافل روحانيّه هر دو ()ممنوع و محروم ".</w:t>
      </w:r>
    </w:p>
    <w:p>
      <w:pPr>
        <w:pStyle w:val="RtlNormal"/>
        <w:bidi/>
      </w:pPr>
      <w:r>
        <w:rPr>
          <w:rtl/>
        </w:rPr>
        <w:t xml:space="preserve">(ص ١٧٧ ج ٣ توقيعات مبارکه ٤٨- ١٩٢٢ () در کتاب مأخد ، کلمه "دو" جا افتاده است و فقط "هر" نوشته شده ولی اداره آرشيو بيت العدل اعظم الهی مرقوم فرموده اند که "هر دو " صحيح است ).</w:t>
      </w:r>
    </w:p>
    <w:p>
      <w:pPr>
        <w:pStyle w:val="RtlNormal"/>
        <w:bidi/>
      </w:pPr>
      <w:r>
        <w:rPr>
          <w:rtl/>
        </w:rPr>
        <w:t xml:space="preserve">12 - " تجاوز از يک زوجه و کتمان عقيده با وجود تحذير و تأکيد و نصيحت اُمنای محفل روحانی ، نتيجه اش در اين ايّام محروميّت از حقّ انتخاب د رجامعه و از عضويّت محافل روحانيّه است ولی اين انفصال اداری است نه روحانی . قرار قطعی و حُکم نهائی راجع باُمنای بيت عدل اعظم است ". (ص ١٥٤ ج ٣ توقيعات مبارکه ٤٨-١٩٢٢)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iek6dyyjrpzzpx25xlv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zymexwsnb_scwlfolse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f9b1zdoavptutlvrhbrj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wnreuyghwowu8vdkmjju.png"/><Relationship Id="rId1" Type="http://schemas.openxmlformats.org/officeDocument/2006/relationships/image" Target="media/ufxxuxy5ov6hessfzxbei.png"/></Relationships>
</file>

<file path=word/_rels/footer2.xml.rels><?xml version="1.0" encoding="UTF-8"?><Relationships xmlns="http://schemas.openxmlformats.org/package/2006/relationships"><Relationship Id="rIdziek6dyyjrpzzpx25xlvn" Type="http://schemas.openxmlformats.org/officeDocument/2006/relationships/hyperlink" Target="https://oceanoflights.org/037-for-dissimulation-ar" TargetMode="External"/><Relationship Id="rIdrzymexwsnb_scwlfolsec" Type="http://schemas.openxmlformats.org/officeDocument/2006/relationships/hyperlink" Target="https://oceanoflights.org" TargetMode="External"/><Relationship Id="rId0" Type="http://schemas.openxmlformats.org/officeDocument/2006/relationships/image" Target="media/b0jo8jf6tdtnghpzjzo5l.png"/><Relationship Id="rId1" Type="http://schemas.openxmlformats.org/officeDocument/2006/relationships/image" Target="media/metyysdikf-sruojhg83z.png"/><Relationship Id="rId2" Type="http://schemas.openxmlformats.org/officeDocument/2006/relationships/image" Target="media/pjjutskq8k4ein91gdn9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i4-yf1dehz6ynkhxg_w-.png"/><Relationship Id="rId1" Type="http://schemas.openxmlformats.org/officeDocument/2006/relationships/image" Target="media/pzwmaymp6lnrmnoremot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3c9slc32fpgfhcgirqpj.png"/><Relationship Id="rId1" Type="http://schemas.openxmlformats.org/officeDocument/2006/relationships/image" Target="media/qs3vwff380aal4zl_uwe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تقيّه و کتمان عقيده</dc:title>
  <dc:creator>Ocean of Lights</dc:creator>
  <cp:lastModifiedBy>Ocean of Lights</cp:lastModifiedBy>
  <cp:revision>1</cp:revision>
  <dcterms:created xsi:type="dcterms:W3CDTF">2024-07-02T17:53:15.352Z</dcterms:created>
  <dcterms:modified xsi:type="dcterms:W3CDTF">2024-07-02T17:53:15.352Z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