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Study Such Arts and Sciences as Benefits Mankind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oga-wefn-5lpcpwcptyrc"/>
      <w:r>
        <w:rPr>
          <w:rtl w:val="false"/>
        </w:rPr>
        <w:t xml:space="preserve">To Study Such Arts and Sciences as Benefits Mankind</w:t>
      </w:r>
    </w:p>
    <w:p>
      <w:pPr>
        <w:pStyle w:val="Normal"/>
        <w:bidi w:val="false"/>
      </w:pPr>
      <w:r>
        <w:rPr>
          <w:i/>
          <w:iCs/>
          <w:rtl w:val="false"/>
        </w:rPr>
        <w:t xml:space="preserve">“O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 </w:t>
      </w:r>
      <w:r>
        <w:rPr>
          <w:rStyle w:val="FootnoteAnchor"/>
        </w:rPr>
        <w:footnoteReference w:id="1"/>
      </w:r>
    </w:p>
    <w:p>
      <w:pPr>
        <w:pStyle w:val="Normal"/>
        <w:bidi w:val="false"/>
      </w:pPr>
      <w:r>
        <w:rPr>
          <w:i/>
          <w:iCs/>
          <w:rtl w:val="false"/>
        </w:rPr>
        <w:t xml:space="preserve">“God hath relieved you of the ordinance laid down in the Bayán concerning the destruction of books. We have permitted you to read such sciences as are profitable unto you, not such as end in idle disputation; better is this for you, if ye be of them that comprehend.” </w:t>
      </w:r>
      <w:r>
        <w:rPr>
          <w:rStyle w:val="FootnoteAnchor"/>
        </w:rPr>
        <w:footnoteReference w:id="2"/>
      </w:r>
    </w:p>
    <w:p>
      <w:pPr>
        <w:pStyle w:val="Normal"/>
        <w:bidi w:val="false"/>
      </w:pPr>
      <w:r>
        <w:rPr>
          <w:b/>
          <w:bCs/>
          <w:i/>
          <w:iCs/>
          <w:rtl w:val="false"/>
        </w:rPr>
        <w:t xml:space="preserve">“The tenth Glad-Tidings</w:t>
      </w:r>
      <w:r>
        <w:br/>
      </w:r>
      <w:r>
        <w:rPr>
          <w:i/>
          <w:iCs/>
          <w:rtl w:val="false"/>
        </w:rPr>
        <w:t xml:space="preserve">As a token of grace from God, the Revealer of this Most Great Announcement, We have removed from the Holy Scriptures and Tablets the law prescribing the destruction of books.</w:t>
      </w:r>
    </w:p>
    <w:p>
      <w:pPr>
        <w:pStyle w:val="Normal"/>
        <w:bidi w:val="false"/>
      </w:pPr>
      <w:r>
        <w:rPr>
          <w:b/>
          <w:bCs/>
          <w:i/>
          <w:iCs/>
          <w:rtl w:val="false"/>
        </w:rPr>
        <w:t xml:space="preserve">The eleventh Glad-Tidings</w:t>
      </w:r>
      <w:r>
        <w:br/>
      </w:r>
      <w:r>
        <w:rPr>
          <w:i/>
          <w:iCs/>
          <w:rtl w:val="false"/>
        </w:rPr>
        <w:t xml:space="preserve">It is permissible to study sciences and arts, but such sciences as are useful and would redound to the progress and advancement of the people. Thus hath it been decreed by Him Who is the Ordainer, the All-Wise.</w:t>
      </w:r>
    </w:p>
    <w:p>
      <w:pPr>
        <w:pStyle w:val="Normal"/>
        <w:bidi w:val="false"/>
      </w:pPr>
      <w:r>
        <w:rPr>
          <w:b/>
          <w:bCs/>
          <w:i/>
          <w:iCs/>
          <w:rtl w:val="false"/>
        </w:rPr>
        <w:t xml:space="preserve">The twelfth Glad-Tidings</w:t>
      </w:r>
      <w:r>
        <w:br/>
      </w:r>
      <w:r>
        <w:rPr>
          <w:i/>
          <w:iCs/>
          <w:rtl w:val="false"/>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pStyle w:val="Normal"/>
        <w:bidi w:val="false"/>
      </w:pPr>
      <w:r>
        <w:rPr>
          <w:i/>
          <w:iCs/>
          <w:rtl w:val="false"/>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pStyle w:val="Normal"/>
        <w:bidi w:val="false"/>
      </w:pPr>
      <w:r>
        <w:rPr>
          <w:rtl w:val="false"/>
        </w:rPr>
        <w:t xml:space="preserve">…</w:t>
      </w:r>
    </w:p>
    <w:p>
      <w:pPr>
        <w:pStyle w:val="Normal"/>
        <w:bidi w:val="false"/>
      </w:pPr>
      <w:r>
        <w:rPr>
          <w:b/>
          <w:bCs/>
          <w:i/>
          <w:iCs/>
          <w:rtl w:val="false"/>
        </w:rPr>
        <w:t xml:space="preserve">The fifteenth Glad-Tidings</w:t>
      </w:r>
      <w:r>
        <w:br/>
      </w:r>
      <w:r>
        <w:rPr>
          <w:i/>
          <w:iCs/>
          <w:rtl w:val="false"/>
        </w:rPr>
        <w:t xml:space="preserve">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pStyle w:val="Normal"/>
        <w:bidi w:val="false"/>
      </w:pPr>
      <w:r>
        <w:rPr>
          <w:i/>
          <w:iCs/>
          <w:rtl w:val="false"/>
        </w:rPr>
        <w:t xml:space="preserve">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favors of God have overshadowed all men, and from the horizon of the Will of the Ever-Abiding Lord, His infallible decree hath prescribed that which We have set forth above.” </w:t>
      </w:r>
      <w:r>
        <w:rPr>
          <w:rStyle w:val="FootnoteAnchor"/>
        </w:rPr>
        <w:footnoteReference w:id="3"/>
      </w:r>
    </w:p>
    <w:p>
      <w:pPr>
        <w:pStyle w:val="Normal"/>
        <w:bidi w:val="false"/>
      </w:pPr>
      <w:r>
        <w:rPr>
          <w:b/>
          <w:bCs/>
          <w:i/>
          <w:iCs/>
          <w:rtl w:val="false"/>
        </w:rPr>
        <w:t xml:space="preserve">“The sixth Ṭaráz</w:t>
      </w:r>
      <w:r>
        <w:rPr>
          <w:rtl w:val="false"/>
        </w:rPr>
        <w:t xml:space="preserve"> </w:t>
      </w:r>
      <w:r>
        <w:rPr>
          <w:i/>
          <w:iCs/>
          <w:rtl w:val="false"/>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 </w:t>
      </w:r>
      <w:r>
        <w:rPr>
          <w:rStyle w:val="FootnoteAnchor"/>
        </w:rPr>
        <w:footnoteReference w:id="4"/>
      </w:r>
    </w:p>
    <w:p>
      <w:pPr>
        <w:pStyle w:val="Normal"/>
        <w:bidi w:val="false"/>
      </w:pPr>
      <w:r>
        <w:rPr>
          <w:b/>
          <w:bCs/>
          <w:i/>
          <w:iCs/>
          <w:rtl w:val="false"/>
        </w:rPr>
        <w:t xml:space="preserve">“The third Tajallí</w:t>
      </w:r>
      <w:r>
        <w:rPr>
          <w:rtl w:val="false"/>
        </w:rPr>
        <w:t xml:space="preserve"> </w:t>
      </w:r>
      <w:r>
        <w:rPr>
          <w:i/>
          <w:iCs/>
          <w:rtl w:val="false"/>
        </w:rPr>
        <w:t xml:space="preserve">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 </w:t>
      </w:r>
      <w:r>
        <w:rPr>
          <w:rStyle w:val="FootnoteAnchor"/>
        </w:rPr>
        <w:footnoteReference w:id="5"/>
      </w:r>
    </w:p>
    <w:p>
      <w:pPr>
        <w:pStyle w:val="Normal"/>
        <w:bidi w:val="false"/>
      </w:pPr>
      <w:r>
        <w:rPr>
          <w:i/>
          <w:iCs/>
          <w:rtl w:val="false"/>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 </w:t>
      </w:r>
      <w:r>
        <w:rPr>
          <w:rStyle w:val="FootnoteAnchor"/>
        </w:rPr>
        <w:footnoteReference w:id="6"/>
      </w:r>
    </w:p>
    <w:p>
      <w:pPr>
        <w:pStyle w:val="Normal"/>
        <w:bidi w:val="false"/>
      </w:pPr>
      <w:r>
        <w:rPr>
          <w:b/>
          <w:bCs/>
          <w:i/>
          <w:iCs/>
          <w:rtl w:val="false"/>
        </w:rPr>
        <w:t xml:space="preserve">“to engage in some occupation</w:t>
      </w:r>
      <w:r>
        <w:br/>
      </w:r>
      <w:r>
        <w:rPr>
          <w:rtl w:val="false"/>
        </w:rPr>
        <w:t xml:space="preserve">
It is obligatory for men and women to engage in a trade or profession. Bahá’u’lláh exalts </w:t>
      </w:r>
      <w:r>
        <w:rPr>
          <w:i/>
          <w:iCs/>
          <w:rtl w:val="false"/>
        </w:rPr>
        <w:t xml:space="preserve">“engagement in such work”</w:t>
      </w:r>
      <w:r>
        <w:rPr>
          <w:rtl w:val="false"/>
        </w:rPr>
        <w:t xml:space="preserve"> to the </w:t>
      </w:r>
      <w:r>
        <w:rPr>
          <w:i/>
          <w:iCs/>
          <w:rtl w:val="false"/>
        </w:rPr>
        <w:t xml:space="preserve">“rank of worship”</w:t>
      </w:r>
      <w:r>
        <w:rPr>
          <w:rtl w:val="false"/>
        </w:rPr>
        <w:t xml:space="preserve"> of God. The spiritual and practical significance of this law, and the mutual responsibility of the individual and society for its implementation are explained in a letter written on behalf of Shoghi Effendi:</w:t>
      </w:r>
    </w:p>
    <w:p>
      <w:pPr>
        <w:pStyle w:val="Normal"/>
        <w:bidi w:val="false"/>
      </w:pPr>
      <w:r>
        <w:rPr>
          <w:rtl w:val="false"/>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pStyle w:val="Normal"/>
        <w:bidi w:val="false"/>
      </w:pPr>
      <w:r>
        <w:rPr>
          <w:rtl w:val="false"/>
        </w:rPr>
        <w:t xml:space="preserve">In one of His Tablets, ‘Abdu’lBahá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pStyle w:val="Normal"/>
        <w:bidi w:val="false"/>
      </w:pPr>
      <w:r>
        <w:rPr>
          <w:rtl w:val="false"/>
        </w:rPr>
        <w:t xml:space="preserve">In response to a question concerning whether Bahá’u’lláh’s injunction requires a wife and mother, as well as her husband, to work for a livelihood, the Universal House of Justice has explained that Bahá’u’lláh’s directive is for the friends to be engaged in an occupation which will profit themselves and others, and that homemaking is a highly honorable and responsible work of fundamental importance to society.</w:t>
      </w:r>
    </w:p>
    <w:p>
      <w:pPr>
        <w:pStyle w:val="Normal"/>
        <w:bidi w:val="false"/>
      </w:pPr>
      <w:r>
        <w:rPr>
          <w:rtl w:val="false"/>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 </w:t>
      </w:r>
      <w:r>
        <w:rPr>
          <w:rStyle w:val="FootnoteAnchor"/>
        </w:rPr>
        <w:footnoteReference w:id="7"/>
      </w:r>
    </w:p>
    <w:p>
      <w:pPr>
        <w:pStyle w:val="Normal"/>
        <w:bidi w:val="false"/>
      </w:pPr>
      <w:r>
        <w:rPr>
          <w:b/>
          <w:bCs/>
          <w:i/>
          <w:iCs/>
          <w:rtl w:val="false"/>
        </w:rPr>
        <w:t xml:space="preserve">“We have permitted you to read such sciences as are profitable unto you, not such as end in idle disputation</w:t>
      </w:r>
      <w:r>
        <w:br/>
      </w:r>
      <w:r>
        <w:rPr>
          <w:rtl w:val="false"/>
        </w:rPr>
        <w:t xml:space="preserve">
The Bahá’í Writings enjoin the acquisition of knowledge and the study of the arts and sciences. Bahá’ís are admonished to respect people of learning and accomplishment, and are warned against the pursuit of studies that are productive only of futile wrangling.</w:t>
      </w:r>
    </w:p>
    <w:p>
      <w:pPr>
        <w:pStyle w:val="Normal"/>
        <w:bidi w:val="false"/>
      </w:pPr>
      <w:r>
        <w:rPr>
          <w:rtl w:val="false"/>
        </w:rPr>
        <w:t xml:space="preserve">In His Tablets Bahá’u’lláh counsels the believers to study such sciences and arts as are </w:t>
      </w:r>
      <w:r>
        <w:rPr>
          <w:i/>
          <w:iCs/>
          <w:rtl w:val="false"/>
        </w:rPr>
        <w:t xml:space="preserve">“useful”</w:t>
      </w:r>
      <w:r>
        <w:rPr>
          <w:rtl w:val="false"/>
        </w:rPr>
        <w:t xml:space="preserve"> and would further </w:t>
      </w:r>
      <w:r>
        <w:rPr>
          <w:i/>
          <w:iCs/>
          <w:rtl w:val="false"/>
        </w:rPr>
        <w:t xml:space="preserve">“the progress and advancement”</w:t>
      </w:r>
      <w:r>
        <w:rPr>
          <w:rtl w:val="false"/>
        </w:rPr>
        <w:t xml:space="preserve"> of society, and He cautions against sciences which </w:t>
      </w:r>
      <w:r>
        <w:rPr>
          <w:i/>
          <w:iCs/>
          <w:rtl w:val="false"/>
        </w:rPr>
        <w:t xml:space="preserve">“begin with words and end with words,”</w:t>
      </w:r>
      <w:r>
        <w:rPr>
          <w:rtl w:val="false"/>
        </w:rPr>
        <w:t xml:space="preserve"> the pursuit of which leads to </w:t>
      </w:r>
      <w:r>
        <w:rPr>
          <w:i/>
          <w:iCs/>
          <w:rtl w:val="false"/>
        </w:rPr>
        <w:t xml:space="preserve">“idle disputation.”</w:t>
      </w:r>
      <w:r>
        <w:rPr>
          <w:rtl w:val="false"/>
        </w:rPr>
        <w:t xml:space="preserve"> Shoghi Effendi, in a letter written on his behalf, likened sciences that begin with words and end with words to “fruitless excursions into metaphysical hair-splittings,” and, in another letter, he explained that what Bahá’u’lláh primarily intended by such “sciences” are “those theological treatises and commentaries that encumber the human mind rather than help it to attain the truth.”” </w:t>
      </w:r>
      <w:r>
        <w:rPr>
          <w:rStyle w:val="FootnoteAnchor"/>
        </w:rPr>
        <w:footnoteReference w:id="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zai4qtseexjb_qvbpsn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ti7zh8wouta8k1zypst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 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Ornaments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Effulgences (Tajalliyat)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Lawh-i-Maqsud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Notes to Kitab-i-Aqdas no. 56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Notes to Kitab-i-Aqdas no. 110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ga-wefn-5lpcpwcptyrc" Type="http://schemas.openxmlformats.org/officeDocument/2006/relationships/hyperlink" Target="#to-study-such-arts-and-sciences-as-benefits-mankind" TargetMode="External"/><Relationship Id="rId9" Type="http://schemas.openxmlformats.org/officeDocument/2006/relationships/image" Target="media/zcbhu9payk0magf746gr4.png"/><Relationship Id="rId10" Type="http://schemas.openxmlformats.org/officeDocument/2006/relationships/image" Target="media/bca-fohbvcbmxj127zzqp.png"/></Relationships>
</file>

<file path=word/_rels/footer1.xml.rels><?xml version="1.0" encoding="UTF-8"?><Relationships xmlns="http://schemas.openxmlformats.org/package/2006/relationships"><Relationship Id="rId0" Type="http://schemas.openxmlformats.org/officeDocument/2006/relationships/image" Target="media/t0fpedyeh-z2tn8-mhgtv.png"/><Relationship Id="rId1" Type="http://schemas.openxmlformats.org/officeDocument/2006/relationships/image" Target="media/zt86zzh6mc7yk9unr-yhb.png"/></Relationships>
</file>

<file path=word/_rels/footer2.xml.rels><?xml version="1.0" encoding="UTF-8"?><Relationships xmlns="http://schemas.openxmlformats.org/package/2006/relationships"><Relationship Id="rIdezai4qtseexjb_qvbpsnw" Type="http://schemas.openxmlformats.org/officeDocument/2006/relationships/hyperlink" Target="https://oceanoflights.org/041-ord-to-study-such-arts-and-sciences-as-benefit-mankind-en" TargetMode="External"/><Relationship Id="rIdoti7zh8wouta8k1zypstq" Type="http://schemas.openxmlformats.org/officeDocument/2006/relationships/hyperlink" Target="https://oceanoflights.org" TargetMode="External"/><Relationship Id="rId0" Type="http://schemas.openxmlformats.org/officeDocument/2006/relationships/image" Target="media/1uyu7cvrztg5kl3xtxxrc.png"/><Relationship Id="rId1" Type="http://schemas.openxmlformats.org/officeDocument/2006/relationships/image" Target="media/ulzu4es7rtubffw9p9bhk.png"/><Relationship Id="rId2" Type="http://schemas.openxmlformats.org/officeDocument/2006/relationships/image" Target="media/qjxhusbt68jkonkjgqwy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kfc6pfd_rpxausrpuxxq.png"/><Relationship Id="rId1" Type="http://schemas.openxmlformats.org/officeDocument/2006/relationships/image" Target="media/vyjxhw1avkoix9qtilmd-.png"/></Relationships>
</file>

<file path=word/_rels/header2.xml.rels><?xml version="1.0" encoding="UTF-8"?><Relationships xmlns="http://schemas.openxmlformats.org/package/2006/relationships"><Relationship Id="rId0" Type="http://schemas.openxmlformats.org/officeDocument/2006/relationships/image" Target="media/syigyyrggblutztve4dq5.png"/><Relationship Id="rId1" Type="http://schemas.openxmlformats.org/officeDocument/2006/relationships/image" Target="media/g3m2jqu0v5qecd_uiv9l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Study Such Arts and Sciences as Benefits Mankind</dc:title>
  <dc:creator>Ocean of Lights</dc:creator>
  <cp:lastModifiedBy>Ocean of Lights</cp:lastModifiedBy>
  <cp:revision>1</cp:revision>
  <dcterms:created xsi:type="dcterms:W3CDTF">2025-06-21T08:17:13.748Z</dcterms:created>
  <dcterms:modified xsi:type="dcterms:W3CDTF">2025-06-21T08:17:13.748Z</dcterms:modified>
</cp:coreProperties>
</file>

<file path=docProps/custom.xml><?xml version="1.0" encoding="utf-8"?>
<Properties xmlns="http://schemas.openxmlformats.org/officeDocument/2006/custom-properties" xmlns:vt="http://schemas.openxmlformats.org/officeDocument/2006/docPropsVTypes"/>
</file>