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Not to Be Proud</w:t>
      </w:r>
    </w:p>
    <w:p>
      <w:pPr>
        <w:pStyle w:val="Author"/>
        <w:bidi w:val="false"/>
      </w:pPr>
      <w:r>
        <w:t xml:space="preserve">Bahá’u’lláh, ‘Abdu’l-Bahá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3ailjt37oupwkylycvxkx"/>
      <w:r>
        <w:rPr>
          <w:rtl w:val="false"/>
        </w:rPr>
        <w:t xml:space="preserve">Not to Be Proud</w:t>
      </w:r>
    </w:p>
    <w:p>
      <w:pPr>
        <w:pStyle w:val="Normal"/>
        <w:bidi w:val="false"/>
      </w:pPr>
      <w:r>
        <w:rPr>
          <w:i/>
          <w:iCs/>
          <w:rtl w:val="false"/>
        </w:rPr>
        <w:t xml:space="preserve">“Take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 </w:t>
      </w:r>
      <w:r>
        <w:rPr>
          <w:rStyle w:val="FootnoteAnchor"/>
        </w:rPr>
        <w:footnoteReference w:id="1"/>
      </w:r>
    </w:p>
    <w:p>
      <w:pPr>
        <w:pStyle w:val="Normal"/>
        <w:bidi w:val="false"/>
      </w:pPr>
      <w:r>
        <w:rPr>
          <w:i/>
          <w:iCs/>
          <w:rtl w:val="false"/>
        </w:rPr>
        <w:t xml:space="preserve">“Take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w:t>
      </w:r>
      <w:r>
        <w:rPr>
          <w:rStyle w:val="FootnoteAnchor"/>
        </w:rPr>
        <w:footnoteReference w:id="2"/>
      </w:r>
    </w:p>
    <w:p>
      <w:pPr>
        <w:pStyle w:val="Normal"/>
        <w:bidi w:val="false"/>
      </w:pPr>
      <w:r>
        <w:rPr>
          <w:i/>
          <w:iCs/>
          <w:rtl w:val="false"/>
        </w:rPr>
        <w:t xml:space="preserve">“fear God, and be not of the prideful.” </w:t>
      </w:r>
      <w:r>
        <w:rPr>
          <w:rStyle w:val="FootnoteAnchor"/>
        </w:rPr>
        <w:footnoteReference w:id="3"/>
      </w:r>
    </w:p>
    <w:p>
      <w:pPr>
        <w:pStyle w:val="Normal"/>
        <w:bidi w:val="false"/>
      </w:pPr>
      <w:r>
        <w:rPr>
          <w:i/>
          <w:iCs/>
          <w:rtl w:val="false"/>
        </w:rPr>
        <w:t xml:space="preserve">Put away the garment of vainglory, and divest yourselves of the attire of haughtiness.” </w:t>
      </w:r>
      <w:r>
        <w:rPr>
          <w:rStyle w:val="FootnoteAnchor"/>
        </w:rPr>
        <w:footnoteReference w:id="4"/>
      </w:r>
    </w:p>
    <w:p>
      <w:pPr>
        <w:pStyle w:val="Normal"/>
        <w:bidi w:val="false"/>
      </w:pPr>
      <w:r>
        <w:rPr>
          <w:i/>
          <w:iCs/>
          <w:rtl w:val="false"/>
        </w:rPr>
        <w:t xml:space="preserve">“Pride not yourselves in your glory, and be not ashamed of abasement. By My beauty! I have created all things from dust, and to dust will I return them again.” </w:t>
      </w:r>
      <w:r>
        <w:rPr>
          <w:rStyle w:val="FootnoteAnchor"/>
        </w:rPr>
        <w:footnoteReference w:id="5"/>
      </w:r>
    </w:p>
    <w:p>
      <w:pPr>
        <w:pStyle w:val="Normal"/>
        <w:bidi w:val="false"/>
      </w:pPr>
      <w:r>
        <w:rPr>
          <w:i/>
          <w:iCs/>
          <w:rtl w:val="false"/>
        </w:rPr>
        <w:t xml:space="preserve">“Humility exalteth man to the heaven of glory and power, whilst pride abaseth him to the depths of wretchedness and degradation…</w:t>
      </w:r>
    </w:p>
    <w:p>
      <w:pPr>
        <w:pStyle w:val="Normal"/>
        <w:bidi w:val="false"/>
      </w:pPr>
      <w:r>
        <w:rPr>
          <w:i/>
          <w:iCs/>
          <w:rtl w:val="false"/>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w:t>
      </w:r>
    </w:p>
    <w:p>
      <w:pPr>
        <w:pStyle w:val="Normal"/>
        <w:bidi w:val="false"/>
      </w:pPr>
      <w:r>
        <w:rPr>
          <w:i/>
          <w:iCs/>
          <w:rtl w:val="false"/>
        </w:rPr>
        <w:t xml:space="preserve">Beware that ye allow not . . . pride and conceit to deter you from turning unto the poor and the desolate…</w:t>
      </w:r>
    </w:p>
    <w:p>
      <w:pPr>
        <w:pStyle w:val="Normal"/>
        <w:bidi w:val="false"/>
      </w:pPr>
      <w:r>
        <w:rPr>
          <w:i/>
          <w:iCs/>
          <w:rtl w:val="false"/>
        </w:rPr>
        <w:t xml:space="preserve">As to him who turneth aside, and swelleth with pride, after that the clear tokens have come unto him, from the Revealer of signs, his work shall God bring to naught…</w:t>
      </w:r>
    </w:p>
    <w:p>
      <w:pPr>
        <w:pStyle w:val="Normal"/>
        <w:bidi w:val="false"/>
      </w:pPr>
      <w:r>
        <w:rPr>
          <w:i/>
          <w:iCs/>
          <w:rtl w:val="false"/>
        </w:rPr>
        <w:t xml:space="preserve">We behold it, in this day, at the mercy of rulers, so drunk with pride that they cannot discern clearly their own best advantage, much less recognize a Revelation so bewildering and challenging as this…</w:t>
      </w:r>
    </w:p>
    <w:p>
      <w:pPr>
        <w:pStyle w:val="Normal"/>
        <w:bidi w:val="false"/>
      </w:pPr>
      <w:r>
        <w:rPr>
          <w:i/>
          <w:iCs/>
          <w:rtl w:val="false"/>
        </w:rPr>
        <w:t xml:space="preserve">In brief, the pride and vanity of certain of the peoples of the world have made havoc of true understanding, and laid waste the home of justice and of equity.” </w:t>
      </w:r>
      <w:r>
        <w:rPr>
          <w:rStyle w:val="FootnoteAnchor"/>
        </w:rPr>
        <w:footnoteReference w:id="6"/>
      </w:r>
    </w:p>
    <w:p>
      <w:pPr>
        <w:pStyle w:val="Normal"/>
        <w:bidi w:val="false"/>
      </w:pPr>
      <w:r>
        <w:rPr>
          <w:i/>
          <w:iCs/>
          <w:rtl w:val="false"/>
        </w:rPr>
        <w:t xml:space="preserve">“At every juncture We have restated Our theme, that all that hath been recorded in these verses may, by the leave of God, be made clear unto thee, and that thou mayest become independent of those who are plunged in the darkness of self and who tread the valley of arrogance and pride, and be of them that move within the paradise of everlasting life…</w:t>
      </w:r>
    </w:p>
    <w:p>
      <w:pPr>
        <w:pStyle w:val="Normal"/>
        <w:bidi w:val="false"/>
      </w:pPr>
      <w:r>
        <w:rPr>
          <w:i/>
          <w:iCs/>
          <w:rtl w:val="false"/>
        </w:rPr>
        <w:t xml:space="preserve">These people, however, have turned aside from all this and placed instead their affections upon that which accordeth with their own corrupt inclinations. Thus do they roam in the wilderness of arrogance and pride…</w:t>
      </w:r>
    </w:p>
    <w:p>
      <w:pPr>
        <w:pStyle w:val="Normal"/>
        <w:bidi w:val="false"/>
      </w:pPr>
      <w:r>
        <w:rPr>
          <w:i/>
          <w:iCs/>
          <w:rtl w:val="false"/>
        </w:rPr>
        <w:t xml:space="preserve">Know, moreover, that should one who hath attained unto these stations and embarked upon these journeys fall prey to pride and vainglory, he would at that very moment come to naught and return to the first step without realizing it.” </w:t>
      </w:r>
      <w:r>
        <w:rPr>
          <w:rStyle w:val="FootnoteAnchor"/>
        </w:rPr>
        <w:footnoteReference w:id="7"/>
      </w:r>
    </w:p>
    <w:p>
      <w:pPr>
        <w:pStyle w:val="Normal"/>
        <w:bidi w:val="false"/>
      </w:pPr>
      <w:r>
        <w:rPr>
          <w:i/>
          <w:iCs/>
          <w:rtl w:val="false"/>
        </w:rPr>
        <w:t xml:space="preserve">“They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 -- a wealth that supplieth the needs of all creation -- behold the measure of my humility, witness with what absolute submissiveness I allow myself to be trodden beneath the feet of men.” </w:t>
      </w:r>
      <w:r>
        <w:rPr>
          <w:rStyle w:val="FootnoteAnchor"/>
        </w:rPr>
        <w:footnoteReference w:id="8"/>
      </w:r>
    </w:p>
    <w:p>
      <w:pPr>
        <w:pStyle w:val="Normal"/>
        <w:bidi w:val="false"/>
      </w:pPr>
      <w:r>
        <w:rPr>
          <w:i/>
          <w:iCs/>
          <w:rtl w:val="false"/>
        </w:rPr>
        <w:t xml:space="preserve">“Consequently, such behavior can be attributed to naught save the petty-mindedness of such souls as tread the valley of arrogance and pride, are lost in the wilds of remoteness, walk in the ways of their idle fancy, and follow the dictates of the leaders of their faith. Their chief concern is mere opposition; their sole desire is to ignore the truth.” </w:t>
      </w:r>
      <w:r>
        <w:rPr>
          <w:rStyle w:val="FootnoteAnchor"/>
        </w:rPr>
        <w:footnoteReference w:id="9"/>
      </w:r>
    </w:p>
    <w:p>
      <w:pPr>
        <w:pStyle w:val="Normal"/>
        <w:bidi w:val="false"/>
      </w:pPr>
      <w:r>
        <w:rPr>
          <w:i/>
          <w:iCs/>
          <w:rtl w:val="false"/>
        </w:rPr>
        <w:t xml:space="preserve">“Behold, how a mere shepherd was so carried away by the ecstasy of the words of God that he was able to gain admittance into the habitation of his Best-Beloved, and was united to Him Who is the Lord of Mankind, whilst they who prided themselves on their knowledge and wisdom strayed far from His path and remained deprived of His grace.” </w:t>
      </w:r>
      <w:r>
        <w:rPr>
          <w:rStyle w:val="FootnoteAnchor"/>
        </w:rPr>
        <w:footnoteReference w:id="10"/>
      </w:r>
    </w:p>
    <w:p>
      <w:pPr>
        <w:pStyle w:val="Normal"/>
        <w:bidi w:val="false"/>
      </w:pPr>
      <w:r>
        <w:rPr>
          <w:i/>
          <w:iCs/>
          <w:rtl w:val="false"/>
        </w:rPr>
        <w:t xml:space="preserve">“Beware that ye swell not with pride before God, and disdainfully reject His loved ones.” </w:t>
      </w:r>
      <w:r>
        <w:rPr>
          <w:rStyle w:val="FootnoteAnchor"/>
        </w:rPr>
        <w:footnoteReference w:id="11"/>
      </w:r>
    </w:p>
    <w:p>
      <w:pPr>
        <w:pStyle w:val="Normal"/>
        <w:bidi w:val="false"/>
      </w:pPr>
      <w:r>
        <w:rPr>
          <w:i/>
          <w:iCs/>
          <w:rtl w:val="false"/>
        </w:rPr>
        <w:t xml:space="preserve">“Take heed lest pride deter you from recognizing the Source of Revelation, lest the things of this world shut you out as by a veil from Him Who is the Creator of heaven.” </w:t>
      </w:r>
      <w:r>
        <w:rPr>
          <w:rStyle w:val="FootnoteAnchor"/>
        </w:rPr>
        <w:footnoteReference w:id="12"/>
      </w:r>
    </w:p>
    <w:p>
      <w:pPr>
        <w:pStyle w:val="Normal"/>
        <w:bidi w:val="false"/>
      </w:pPr>
      <w:r>
        <w:rPr>
          <w:i/>
          <w:iCs/>
          <w:rtl w:val="false"/>
        </w:rPr>
        <w:t xml:space="preserve">“Erelong shall your days pass away, as shall pass away the days of those who now, with flagrant pride, vaunt themselves over their neighbor. Soon shall ye be gathered together in the presence of God, and shall be asked of your doings, and shall be repaid for what your hands have wrought, and wretched the abode of the wicked doers!” </w:t>
      </w:r>
      <w:r>
        <w:rPr>
          <w:rStyle w:val="FootnoteAnchor"/>
        </w:rPr>
        <w:footnoteReference w:id="13"/>
      </w:r>
    </w:p>
    <w:p>
      <w:pPr>
        <w:pStyle w:val="Normal"/>
        <w:bidi w:val="false"/>
      </w:pPr>
      <w:r>
        <w:rPr>
          <w:i/>
          <w:iCs/>
          <w:rtl w:val="false"/>
        </w:rPr>
        <w:t xml:space="preserve">“It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shall profit you and profit them that have placed their whole trust and confidence in their Lord.” </w:t>
      </w:r>
      <w:r>
        <w:rPr>
          <w:rStyle w:val="FootnoteAnchor"/>
        </w:rPr>
        <w:footnoteReference w:id="14"/>
      </w:r>
    </w:p>
    <w:p>
      <w:pPr>
        <w:pStyle w:val="Normal"/>
        <w:bidi w:val="false"/>
      </w:pPr>
      <w:r>
        <w:rPr>
          <w:i/>
          <w:iCs/>
          <w:rtl w:val="false"/>
        </w:rPr>
        <w:t xml:space="preserve">“What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 </w:t>
      </w:r>
      <w:r>
        <w:rPr>
          <w:rStyle w:val="FootnoteAnchor"/>
        </w:rPr>
        <w:footnoteReference w:id="15"/>
      </w:r>
    </w:p>
    <w:p>
      <w:pPr>
        <w:pStyle w:val="Normal"/>
        <w:bidi w:val="false"/>
      </w:pPr>
      <w:r>
        <w:rPr>
          <w:i/>
          <w:iCs/>
          <w:rtl w:val="false"/>
        </w:rPr>
        <w:t xml:space="preserve">“He must never seek to exalt himself above any one, must wash away from the tablet of his heart every trace of pride and vain-glory, must cling unto patience and resignation, observe silence and refrain from idle talk.” </w:t>
      </w:r>
      <w:r>
        <w:rPr>
          <w:rStyle w:val="FootnoteAnchor"/>
        </w:rPr>
        <w:footnoteReference w:id="16"/>
      </w:r>
    </w:p>
    <w:p>
      <w:pPr>
        <w:pStyle w:val="Normal"/>
        <w:bidi w:val="false"/>
      </w:pPr>
      <w:r>
        <w:rPr>
          <w:i/>
          <w:iCs/>
          <w:rtl w:val="false"/>
        </w:rPr>
        <w:t xml:space="preserve">“Blessed are the learned that pride not themselves on their attainments; and well is it with the righteous that mock not the sinful, but rather conceal their misdeeds, so that their own shortcomings may remain veiled to men's eyes.” </w:t>
      </w:r>
      <w:r>
        <w:rPr>
          <w:rStyle w:val="FootnoteAnchor"/>
        </w:rPr>
        <w:footnoteReference w:id="17"/>
      </w:r>
    </w:p>
    <w:p>
      <w:pPr>
        <w:pStyle w:val="Normal"/>
        <w:bidi w:val="false"/>
      </w:pPr>
      <w:r>
        <w:rPr>
          <w:rtl w:val="false"/>
        </w:rPr>
        <w:t xml:space="preserve">“Therefore, no one should glorify himself over another; no one should manifest pride or superiority toward another; no one should look upon another with scorn and contempt; and no one should deprive or oppress a fellow creature.” </w:t>
      </w:r>
      <w:r>
        <w:rPr>
          <w:rStyle w:val="FootnoteAnchor"/>
        </w:rPr>
        <w:footnoteReference w:id="18"/>
      </w:r>
    </w:p>
    <w:p>
      <w:pPr>
        <w:pStyle w:val="Normal"/>
        <w:bidi w:val="false"/>
      </w:pPr>
      <w:r>
        <w:rPr>
          <w:rtl w:val="false"/>
        </w:rPr>
        <w:t xml:space="preserve">“The teacher should not consider himself as learned and others ignorant. Such a thought breedeth pride, and pride is not conducive to influence.” </w:t>
      </w:r>
      <w:r>
        <w:rPr>
          <w:rStyle w:val="FootnoteAnchor"/>
        </w:rPr>
        <w:footnoteReference w:id="19"/>
      </w:r>
    </w:p>
    <w:p>
      <w:pPr>
        <w:pStyle w:val="Normal"/>
        <w:bidi w:val="false"/>
      </w:pPr>
      <w:r>
        <w:rPr>
          <w:rtl w:val="false"/>
        </w:rPr>
        <w:t xml:space="preserve">“. . . for with learning cometh arrogance and pride, and it bringeth on error and indifference to God.” </w:t>
      </w:r>
      <w:r>
        <w:rPr>
          <w:rStyle w:val="FootnoteAnchor"/>
        </w:rPr>
        <w:footnoteReference w:id="20"/>
      </w:r>
    </w:p>
    <w:p>
      <w:pPr>
        <w:pStyle w:val="Normal"/>
        <w:bidi w:val="false"/>
      </w:pPr>
      <w:r>
        <w:rPr>
          <w:rtl w:val="false"/>
        </w:rPr>
        <w:t xml:space="preserve">“It is indeed strange that instead of offering thanks for this bounty, which truly derives from the grace of Almighty God, by arising as one in gratitude and enthusiasm and praying that these noble purposes will daily multiply, some, on the contrary, whose reason has been corrupted by personal motives and the clarity of whose perception has been clouded by self-interest and conceit; whose energies are devoted to the service of their passions, whose sense of pride is perverted to the love of leadership, have raised the standard of opposition and waxed loud in their complaints.” </w:t>
      </w:r>
      <w:r>
        <w:rPr>
          <w:rStyle w:val="FootnoteAnchor"/>
        </w:rPr>
        <w:footnoteReference w:id="21"/>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kpyhb-fz5wwr8ghppnp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phtyq5achn31iboaii7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82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86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148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Bahá’u’lláh, The Persian Hidden Words no. 47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Bahá’u’lláh, The Persian Hidden Words no. 48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Bahá’u’lláh, Epistle to the Son of the Wolf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Bahá’u’lláh, Gems of Divine Mysteries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V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XIII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XXXV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LXVI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CV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CXIII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CXIII </w:t>
      </w:r>
    </w:p>
  </w:footnote>
  <w:footnote w:id="15">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CXVIII </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CXXV </w:t>
      </w:r>
    </w:p>
  </w:footnote>
  <w:footnote w:id="17">
    <w:p>
      <w:pPr>
        <w:pStyle w:val="FootnoteNormal"/>
        <w:bidi w:val="false"/>
      </w:pPr>
      <w:r>
        <w:rPr>
          <w:rStyle w:val="FootnoteReference"/>
        </w:rPr>
        <w:footnoteRef/>
      </w:r>
      <w:r>
        <w:rPr>
          <w:rtl w:val="false"/>
          <w:rStyle w:val="FootnoteReference"/>
        </w:rPr>
        <w:t xml:space="preserve">.</w:t>
      </w:r>
      <w:r>
        <w:rPr>
          <w:rtl w:val="false"/>
        </w:rPr>
        <w:t xml:space="preserve"> Bahá’u’lláh, Gleanings from the Writings of Bahá’u’lláh CXLV </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Abdu’l-Bahá, The Promulgation of Universal Peace, Talk at Home of Mr. and Mrs. Arthur J. Parsons1700 Eighteenth Street, NW, Washington, D.C. </w:t>
      </w:r>
    </w:p>
  </w:footnote>
  <w:footnote w:id="19">
    <w:p>
      <w:pPr>
        <w:pStyle w:val="FootnoteNormal"/>
        <w:bidi w:val="false"/>
      </w:pPr>
      <w:r>
        <w:rPr>
          <w:rStyle w:val="FootnoteReference"/>
        </w:rPr>
        <w:footnoteRef/>
      </w:r>
      <w:r>
        <w:rPr>
          <w:rtl w:val="false"/>
          <w:rStyle w:val="FootnoteReference"/>
        </w:rPr>
        <w:t xml:space="preserve">.</w:t>
      </w:r>
      <w:r>
        <w:rPr>
          <w:rtl w:val="false"/>
        </w:rPr>
        <w:t xml:space="preserve"> Abdu’l-Bahá, Selections from the Writings of ‘Abdu’l-Bahá, no. 15 </w:t>
      </w:r>
    </w:p>
  </w:footnote>
  <w:footnote w:id="20">
    <w:p>
      <w:pPr>
        <w:pStyle w:val="FootnoteNormal"/>
        <w:bidi w:val="false"/>
      </w:pPr>
      <w:r>
        <w:rPr>
          <w:rStyle w:val="FootnoteReference"/>
        </w:rPr>
        <w:footnoteRef/>
      </w:r>
      <w:r>
        <w:rPr>
          <w:rtl w:val="false"/>
          <w:rStyle w:val="FootnoteReference"/>
        </w:rPr>
        <w:t xml:space="preserve">.</w:t>
      </w:r>
      <w:r>
        <w:rPr>
          <w:rtl w:val="false"/>
        </w:rPr>
        <w:t xml:space="preserve"> Abdu’l-Bahá, Selections from the Writings of Abdu’l-Bahá, no. 72 </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Abdu’l-Bahá, The Secret of Divine Civilization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ailjt37oupwkylycvxkx" Type="http://schemas.openxmlformats.org/officeDocument/2006/relationships/hyperlink" Target="#not-to-be-proud" TargetMode="External"/><Relationship Id="rId9" Type="http://schemas.openxmlformats.org/officeDocument/2006/relationships/image" Target="media/0pfazysx6spahpkhtqt0p.png"/><Relationship Id="rId10" Type="http://schemas.openxmlformats.org/officeDocument/2006/relationships/image" Target="media/ebej_8rgtwbrzuikxrjlr.png"/></Relationships>
</file>

<file path=word/_rels/footer1.xml.rels><?xml version="1.0" encoding="UTF-8"?><Relationships xmlns="http://schemas.openxmlformats.org/package/2006/relationships"><Relationship Id="rId0" Type="http://schemas.openxmlformats.org/officeDocument/2006/relationships/image" Target="media/_tat-g9yjojhksqtmeigd.png"/><Relationship Id="rId1" Type="http://schemas.openxmlformats.org/officeDocument/2006/relationships/image" Target="media/pexytqslh3kvjrt5wjoyp.png"/></Relationships>
</file>

<file path=word/_rels/footer2.xml.rels><?xml version="1.0" encoding="UTF-8"?><Relationships xmlns="http://schemas.openxmlformats.org/package/2006/relationships"><Relationship Id="rIdakpyhb-fz5wwr8ghppnpp" Type="http://schemas.openxmlformats.org/officeDocument/2006/relationships/hyperlink" Target="https://oceanoflights.org/058-ord-not-to-be-proud-en" TargetMode="External"/><Relationship Id="rIdtphtyq5achn31iboaii7b" Type="http://schemas.openxmlformats.org/officeDocument/2006/relationships/hyperlink" Target="https://oceanoflights.org" TargetMode="External"/><Relationship Id="rId0" Type="http://schemas.openxmlformats.org/officeDocument/2006/relationships/image" Target="media/8psnpx5xz3bsfcds55qpg.png"/><Relationship Id="rId1" Type="http://schemas.openxmlformats.org/officeDocument/2006/relationships/image" Target="media/pndwik5uyozes-gsoh4bf.png"/><Relationship Id="rId2" Type="http://schemas.openxmlformats.org/officeDocument/2006/relationships/image" Target="media/-uummawq-qndmmz51uct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sxjxv60m4utevpe_l3tl.png"/><Relationship Id="rId1" Type="http://schemas.openxmlformats.org/officeDocument/2006/relationships/image" Target="media/scc4exysbe2x3rt5juvlg.png"/></Relationships>
</file>

<file path=word/_rels/header2.xml.rels><?xml version="1.0" encoding="UTF-8"?><Relationships xmlns="http://schemas.openxmlformats.org/package/2006/relationships"><Relationship Id="rId0" Type="http://schemas.openxmlformats.org/officeDocument/2006/relationships/image" Target="media/7hlw-xhhlk6kk6zg2x279.png"/><Relationship Id="rId1" Type="http://schemas.openxmlformats.org/officeDocument/2006/relationships/image" Target="media/t1unxq8hndwcdoso1_d6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to Be Proud</dc:title>
  <dc:creator>Ocean of Lights</dc:creator>
  <cp:lastModifiedBy>Ocean of Lights</cp:lastModifiedBy>
  <cp:revision>1</cp:revision>
  <dcterms:created xsi:type="dcterms:W3CDTF">2025-07-09T07:30:06.584Z</dcterms:created>
  <dcterms:modified xsi:type="dcterms:W3CDTF">2025-07-09T07:30:06.584Z</dcterms:modified>
</cp:coreProperties>
</file>

<file path=docProps/custom.xml><?xml version="1.0" encoding="utf-8"?>
<Properties xmlns="http://schemas.openxmlformats.org/officeDocument/2006/custom-properties" xmlns:vt="http://schemas.openxmlformats.org/officeDocument/2006/docPropsVTypes"/>
</file>