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Be Fanatical</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pimrrg6xee967qumicqt-"/>
      <w:r>
        <w:rPr>
          <w:rtl w:val="false"/>
        </w:rPr>
        <w:t xml:space="preserve">Not to Be Fanatical</w:t>
      </w:r>
    </w:p>
    <w:p>
      <w:pPr>
        <w:pStyle w:val="Normal"/>
        <w:bidi w:val="false"/>
      </w:pPr>
      <w:r>
        <w:rPr>
          <w:i/>
          <w:iCs/>
          <w:rtl w:val="false"/>
        </w:rPr>
        <w:t xml:space="preserve">“Consort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 </w:t>
      </w:r>
      <w:r>
        <w:rPr>
          <w:rStyle w:val="FootnoteAnchor"/>
        </w:rPr>
        <w:footnoteReference w:id="1"/>
      </w:r>
    </w:p>
    <w:p>
      <w:pPr>
        <w:pStyle w:val="Normal"/>
        <w:bidi w:val="false"/>
      </w:pPr>
      <w:r>
        <w:rPr>
          <w:i/>
          <w:iCs/>
          <w:rtl w:val="false"/>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 </w:t>
      </w:r>
      <w:r>
        <w:rPr>
          <w:rStyle w:val="FootnoteAnchor"/>
        </w:rPr>
        <w:footnoteReference w:id="2"/>
      </w:r>
    </w:p>
    <w:p>
      <w:pPr>
        <w:pStyle w:val="Normal"/>
        <w:bidi w:val="false"/>
      </w:pPr>
      <w:r>
        <w:rPr>
          <w:b/>
          <w:bCs/>
          <w:i/>
          <w:iCs/>
          <w:rtl w:val="false"/>
        </w:rPr>
        <w:t xml:space="preserve">“The second Glad-Tidings</w:t>
      </w:r>
      <w:r>
        <w:rPr>
          <w:rtl w:val="false"/>
        </w:rPr>
        <w:t xml:space="preserve"> </w:t>
      </w:r>
      <w:r>
        <w:rPr>
          <w:i/>
          <w:iCs/>
          <w:rtl w:val="false"/>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 </w:t>
      </w:r>
      <w:r>
        <w:rPr>
          <w:rStyle w:val="FootnoteAnchor"/>
        </w:rPr>
        <w:footnoteReference w:id="3"/>
      </w:r>
    </w:p>
    <w:p>
      <w:pPr>
        <w:pStyle w:val="Normal"/>
        <w:bidi w:val="false"/>
      </w:pPr>
      <w:r>
        <w:rPr>
          <w:b/>
          <w:bCs/>
          <w:i/>
          <w:iCs/>
          <w:rtl w:val="false"/>
        </w:rPr>
        <w:t xml:space="preserve">“The second Ṭaráz</w:t>
      </w:r>
      <w:r>
        <w:rPr>
          <w:rtl w:val="false"/>
        </w:rPr>
        <w:t xml:space="preserve"> </w:t>
      </w:r>
      <w:r>
        <w:rPr>
          <w:i/>
          <w:iCs/>
          <w:rtl w:val="false"/>
        </w:rPr>
        <w:t xml:space="preserve">is to consort with the followers of all religions in a spirit of friendliness and fellowship, to proclaim that which the Speaker on Sinai hath set forth and to observe fairness in all matters.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 This Wronged One exhorteth the peoples of the world to observe tolerance and righteousness, which are two lights amidst the darkness of the world and two educators for the edification of mankind. Happy are they who have attained thereto and woe betide the heedless.” </w:t>
      </w:r>
      <w:r>
        <w:rPr>
          <w:rStyle w:val="FootnoteAnchor"/>
        </w:rPr>
        <w:footnoteReference w:id="4"/>
      </w:r>
    </w:p>
    <w:p>
      <w:pPr>
        <w:pStyle w:val="Normal"/>
        <w:bidi w:val="false"/>
      </w:pPr>
      <w:r>
        <w:rPr>
          <w:i/>
          <w:iCs/>
          <w:rtl w:val="false"/>
        </w:rPr>
        <w:t xml:space="preserve">“Consort with the followers of all religions in a spirit of friendliness and fellowship” </w:t>
      </w:r>
      <w:r>
        <w:rPr>
          <w:rStyle w:val="FootnoteAnchor"/>
        </w:rPr>
        <w:footnoteReference w:id="5"/>
      </w:r>
    </w:p>
    <w:p>
      <w:pPr>
        <w:pStyle w:val="Normal"/>
        <w:bidi w:val="false"/>
      </w:pPr>
      <w:r>
        <w:rPr>
          <w:i/>
          <w:iCs/>
          <w:rtl w:val="false"/>
        </w:rPr>
        <w:t xml:space="preserve">“Overstep not the bounds of moderation.” </w:t>
      </w:r>
      <w:r>
        <w:rPr>
          <w:rStyle w:val="FootnoteAnchor"/>
        </w:rPr>
        <w:footnoteReference w:id="6"/>
      </w:r>
    </w:p>
    <w:p>
      <w:pPr>
        <w:pStyle w:val="Normal"/>
        <w:bidi w:val="false"/>
      </w:pPr>
      <w:r>
        <w:rPr>
          <w:i/>
          <w:iCs/>
          <w:rtl w:val="false"/>
        </w:rPr>
        <w:t xml:space="preserve">“Fear ye God, and take heed not to outstrip the bounds of moderation and be numbered among the extravagant.” </w:t>
      </w:r>
      <w:r>
        <w:rPr>
          <w:rStyle w:val="FootnoteAnchor"/>
        </w:rPr>
        <w:footnoteReference w:id="7"/>
      </w:r>
    </w:p>
    <w:p>
      <w:pPr>
        <w:pStyle w:val="Normal"/>
        <w:bidi w:val="false"/>
      </w:pPr>
      <w:r>
        <w:rPr>
          <w:rtl w:val="false"/>
        </w:rPr>
        <w:t xml:space="preserve">“Consort with all the peoples, kindreds and religions of the world with the utmost truthfulness, uprightness, faithfulness, kindliness, good-will and friendliness, that all the world of being may be filled with the holy ecstasy of the grace of Bahá,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 </w:t>
      </w:r>
      <w:r>
        <w:rPr>
          <w:rStyle w:val="FootnoteAnchor"/>
        </w:rPr>
        <w:footnoteReference w:id="8"/>
      </w:r>
    </w:p>
    <w:p>
      <w:pPr>
        <w:pStyle w:val="Normal"/>
        <w:bidi w:val="false"/>
      </w:pPr>
      <w:r>
        <w:rPr>
          <w:rtl w:val="false"/>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One might liken Bahá’u’lláh's teachings to a sphere; there are points poles apart, and in between the thoughts and doctrines that unite them. We believe in balance in all things; we believe in moderation in all things -- we must not be too emotional, nor cut and dried and lacking in feeling, we must not be so liberal as to cease to preserve the character and unity of our Bahá’í system, nor fanatical and dogmatic.” </w:t>
      </w:r>
      <w:r>
        <w:rPr>
          <w:rStyle w:val="FootnoteAnchor"/>
        </w:rPr>
        <w:footnoteReference w:id="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syemylk8l9kk6i12_yt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9gvdgx5k_gtj8ixnuhe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 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Tarazat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CXIV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Suriy-i-Muluk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Abdul-Baha, Will and Testament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Shoghi Effendi, quoted in The Universal House of Justice, 1997 Aug 13, Science and Religion, pp.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imrrg6xee967qumicqt-" Type="http://schemas.openxmlformats.org/officeDocument/2006/relationships/hyperlink" Target="#not-to-be-fanatical" TargetMode="External"/><Relationship Id="rId9" Type="http://schemas.openxmlformats.org/officeDocument/2006/relationships/image" Target="media/c-ygwnff2_ejeecfgdmuk.png"/><Relationship Id="rId10" Type="http://schemas.openxmlformats.org/officeDocument/2006/relationships/image" Target="media/vodh5pqdaj4bx5k6pzcx3.png"/></Relationships>
</file>

<file path=word/_rels/footer1.xml.rels><?xml version="1.0" encoding="UTF-8"?><Relationships xmlns="http://schemas.openxmlformats.org/package/2006/relationships"><Relationship Id="rId0" Type="http://schemas.openxmlformats.org/officeDocument/2006/relationships/image" Target="media/m-w5acg_n-twi2zjyxfi7.png"/><Relationship Id="rId1" Type="http://schemas.openxmlformats.org/officeDocument/2006/relationships/image" Target="media/3k4ihi3mfoxhvvuwmipu8.png"/></Relationships>
</file>

<file path=word/_rels/footer2.xml.rels><?xml version="1.0" encoding="UTF-8"?><Relationships xmlns="http://schemas.openxmlformats.org/package/2006/relationships"><Relationship Id="rIdfsyemylk8l9kk6i12_ytm" Type="http://schemas.openxmlformats.org/officeDocument/2006/relationships/hyperlink" Target="https://oceanoflights.org/059-ord-not-to-be-fanatical-en" TargetMode="External"/><Relationship Id="rIdj9gvdgx5k_gtj8ixnuhed" Type="http://schemas.openxmlformats.org/officeDocument/2006/relationships/hyperlink" Target="https://oceanoflights.org" TargetMode="External"/><Relationship Id="rId0" Type="http://schemas.openxmlformats.org/officeDocument/2006/relationships/image" Target="media/-nlgj9aycbwkhakwagglb.png"/><Relationship Id="rId1" Type="http://schemas.openxmlformats.org/officeDocument/2006/relationships/image" Target="media/9xz1ls1iaigl8ex-cydup.png"/><Relationship Id="rId2" Type="http://schemas.openxmlformats.org/officeDocument/2006/relationships/image" Target="media/d4r06kxr2gjn9ficelnd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oe07lbe9p5gtuoxhf1pq.png"/><Relationship Id="rId1" Type="http://schemas.openxmlformats.org/officeDocument/2006/relationships/image" Target="media/yhdueyw07cmlomch8kujg.png"/></Relationships>
</file>

<file path=word/_rels/header2.xml.rels><?xml version="1.0" encoding="UTF-8"?><Relationships xmlns="http://schemas.openxmlformats.org/package/2006/relationships"><Relationship Id="rId0" Type="http://schemas.openxmlformats.org/officeDocument/2006/relationships/image" Target="media/ziku6kcnj-vpyq7sye5qt.png"/><Relationship Id="rId1" Type="http://schemas.openxmlformats.org/officeDocument/2006/relationships/image" Target="media/q4ov2y_irenkheb-cm6q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Be Fanatical</dc:title>
  <dc:creator>Ocean of Lights</dc:creator>
  <cp:lastModifiedBy>Ocean of Lights</cp:lastModifiedBy>
  <cp:revision>1</cp:revision>
  <dcterms:created xsi:type="dcterms:W3CDTF">2025-07-14T13:14:40.713Z</dcterms:created>
  <dcterms:modified xsi:type="dcterms:W3CDTF">2025-07-14T13:14:40.713Z</dcterms:modified>
</cp:coreProperties>
</file>

<file path=docProps/custom.xml><?xml version="1.0" encoding="utf-8"?>
<Properties xmlns="http://schemas.openxmlformats.org/officeDocument/2006/custom-properties" xmlns:vt="http://schemas.openxmlformats.org/officeDocument/2006/docPropsVTypes"/>
</file>