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Not to Anger One’s Neighbour</w:t>
      </w:r>
    </w:p>
    <w:p>
      <w:pPr>
        <w:pStyle w:val="Author"/>
        <w:bidi w:val="false"/>
      </w:pPr>
      <w:r>
        <w:t xml:space="preserve">Bahá’u’lláh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pStyle w:val="Heading1"/>
        <w:bidi w:val="false"/>
      </w:pPr>
      <w:hyperlink w:history="1" r:id="rIdvrdgexrvuld3cigvnxoqy"/>
      <w:r>
        <w:rPr>
          <w:rtl w:val="false"/>
        </w:rPr>
        <w:t xml:space="preserve">Not to Anger One’s Neighbour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“take heed lest ye do aught that may provoke intransigence amongst you.” </w:t>
      </w:r>
      <w:r>
        <w:rPr>
          <w:rStyle w:val="FootnoteAnchor"/>
        </w:rPr>
        <w:footnoteReference w:id="1"/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“Ye have been forbidden in the Book of God to engage in contention and conflict, to strike another, or to commit similar acts whereby hearts and souls may be saddened.” </w:t>
      </w:r>
      <w:r>
        <w:rPr>
          <w:rStyle w:val="FootnoteAnchor"/>
        </w:rPr>
        <w:footnoteReference w:id="2"/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“Be not the cause of grief, much less of discord and strife.” </w:t>
      </w:r>
      <w:r>
        <w:rPr>
          <w:rStyle w:val="FootnoteAnchor"/>
        </w:rPr>
        <w:footnoteReference w:id="3"/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hfaobvuvyejzwbzlf2m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q1yhzvmd3tgoasmspsi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Baha’u’llah, The Most Holy Book, para 67 </w:t>
      </w:r>
    </w:p>
  </w:footnote>
  <w:footnote w:id="2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Baha’u’llah, The Most Holy Book, para 148 </w:t>
      </w:r>
    </w:p>
  </w:footnote>
  <w:footnote w:id="3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Baha’u’llah, Glad Tidings (Ishraqat)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0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0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0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0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0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rdgexrvuld3cigvnxoqy" Type="http://schemas.openxmlformats.org/officeDocument/2006/relationships/hyperlink" Target="#not-to-anger-ones-neighbour" TargetMode="External"/><Relationship Id="rId9" Type="http://schemas.openxmlformats.org/officeDocument/2006/relationships/image" Target="media/ktyv2g4hxt0cnfdlpm8n-.png"/><Relationship Id="rId10" Type="http://schemas.openxmlformats.org/officeDocument/2006/relationships/image" Target="media/19_y9cccjptsajhngv9o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c5etwy8nkeendquwr78s.png"/><Relationship Id="rId1" Type="http://schemas.openxmlformats.org/officeDocument/2006/relationships/image" Target="media/hnzne85s1rr1nzgtneaxq.png"/></Relationships>
</file>

<file path=word/_rels/footer2.xml.rels><?xml version="1.0" encoding="UTF-8"?><Relationships xmlns="http://schemas.openxmlformats.org/package/2006/relationships"><Relationship Id="rIdlhfaobvuvyejzwbzlf2mq" Type="http://schemas.openxmlformats.org/officeDocument/2006/relationships/hyperlink" Target="https://oceanoflights.org/066-ord-not-to-anger-ones-neighbour-en" TargetMode="External"/><Relationship Id="rIdrq1yhzvmd3tgoasmspsia" Type="http://schemas.openxmlformats.org/officeDocument/2006/relationships/hyperlink" Target="https://oceanoflights.org" TargetMode="External"/><Relationship Id="rId0" Type="http://schemas.openxmlformats.org/officeDocument/2006/relationships/image" Target="media/gp48tdmltmb6qppvhdos7.png"/><Relationship Id="rId1" Type="http://schemas.openxmlformats.org/officeDocument/2006/relationships/image" Target="media/qtqicfcs8naxmdivvefje.png"/><Relationship Id="rId2" Type="http://schemas.openxmlformats.org/officeDocument/2006/relationships/image" Target="media/v95chm7smlwg8p6sroqz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_mvmulslueszypfpr1gy.png"/><Relationship Id="rId1" Type="http://schemas.openxmlformats.org/officeDocument/2006/relationships/image" Target="media/0p2ksrse8bonxwu22yky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-pobx7rwgsusxykq8hj-q.png"/><Relationship Id="rId1" Type="http://schemas.openxmlformats.org/officeDocument/2006/relationships/image" Target="media/c2nkf44s8psspoprocpz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to Anger One’s Neighbour</dc:title>
  <dc:creator>Ocean of Lights</dc:creator>
  <cp:lastModifiedBy>Ocean of Lights</cp:lastModifiedBy>
  <cp:revision>1</cp:revision>
  <dcterms:created xsi:type="dcterms:W3CDTF">2025-07-25T08:00:28.236Z</dcterms:created>
  <dcterms:modified xsi:type="dcterms:W3CDTF">2025-07-25T08:00:28.236Z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