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دعا و مناجات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دعا و مناجات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أن أقبل إلی اللّه بقلب طاهر ونفس زکيّة ولسان صادق وبصر مقدّس ثمّ ادعوه‌ في کلّ الأحوال إنّه معين من أقبل إليه "</w:t>
      </w:r>
    </w:p>
    <w:p>
      <w:pPr>
        <w:pStyle w:val="RtlNormal"/>
        <w:bidi/>
      </w:pPr>
      <w:r>
        <w:rPr>
          <w:rtl/>
        </w:rPr>
        <w:t xml:space="preserve">(ص ٢١ ج ٤ امر و خلق)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تلاوت مناجات و ترتيل آيات و طلب غفران خطيئات سبب عفو قصور است و علوّ درجات مؤمنين و مؤمنات "</w:t>
      </w:r>
    </w:p>
    <w:p>
      <w:pPr>
        <w:pStyle w:val="RtlNormal"/>
        <w:bidi/>
      </w:pPr>
      <w:r>
        <w:rPr>
          <w:rtl/>
        </w:rPr>
        <w:t xml:space="preserve">(ص ٨٩ ج ٩ مائده آسمانی ط ١١٨)</w:t>
      </w:r>
    </w:p>
    <w:p>
      <w:pPr>
        <w:pStyle w:val="RtlNormal"/>
        <w:bidi/>
      </w:pPr>
      <w:r>
        <w:rPr>
          <w:rtl/>
        </w:rPr>
        <w:t xml:space="preserve">2 - " قلب انسان جز بعبادت رحمن مطمئن نگردد و روح انسان جز بذکر يزدان مستبشر نشود . قوّت عبادت بمنزله جناح است روح انسانی را از حضيض ادنی بملکوت ابهی عروج دهد و کينونات بشريّه را صفا و لطافت بخشد و مقصود جز باين وسيله حاصل نشود " (ص ١٣ گنجينه حدود و احکام)</w:t>
      </w:r>
    </w:p>
    <w:p>
      <w:pPr>
        <w:pStyle w:val="RtlNormal"/>
        <w:bidi/>
      </w:pPr>
      <w:r>
        <w:rPr>
          <w:rtl/>
        </w:rPr>
        <w:t xml:space="preserve">3 - " دعا واسطه ارتباط ميانه حق و خلق است و سبب توجّه و تعلّق قلب . هرگز فيض از اعلی بادنی بدون واسطه تعلّق و ارتباط حاصل نگردد اينست که بنده بايد بدرگاه احديّت تضرّع و ابتهال نمايد و نماز و نياز آرد "</w:t>
      </w:r>
    </w:p>
    <w:p>
      <w:pPr>
        <w:pStyle w:val="RtlNormal"/>
        <w:bidi/>
      </w:pPr>
      <w:r>
        <w:rPr>
          <w:rtl/>
        </w:rPr>
        <w:t xml:space="preserve">(ص ٢٩ ج ٩ مائده آسمانی ط ١١٨)</w:t>
      </w:r>
    </w:p>
    <w:p>
      <w:pPr>
        <w:pStyle w:val="RtlNormal"/>
        <w:bidi/>
      </w:pPr>
      <w:r>
        <w:rPr>
          <w:rtl/>
        </w:rPr>
        <w:t xml:space="preserve">4 - " هيچ حالتی مثل حالت مناجات نيست . قلوب صافيه را منجذب نمايد و نفوس مقدّسه را انتباه و روحانيّت عجيبی بخشد" (ص ٣٠٨ ج ٢ بدائع الآثار)</w:t>
      </w:r>
    </w:p>
    <w:p>
      <w:pPr>
        <w:pStyle w:val="RtlNormal"/>
        <w:bidi/>
      </w:pPr>
      <w:r>
        <w:rPr>
          <w:rtl/>
        </w:rPr>
        <w:t xml:space="preserve">5 - " و امّا سؤالی که نموده بوديد که باوجود تلاوت مناجات و قرائت دعای شفا چگونه اين نفوس وفات يافتند بدانکه اين ادعيه و مناجات بجهت شفای از اجل معلّق است نه قضای محتوم و مبرم . زيرا اجل بردو قسم است اجل معلّق و اجل محتوم . اجل محتوم را تغيير و تبديلی نه و اگر چنين باشد که از برای هر مريض تلاوت مناجات شود شفا يابد ، ديگر نفسی ترک غالب عنصری نکند و از اين جهان بجهان ديگر صعود و ترقّی نفرمايد زيرا هر وقت نفسی عليل گردد ترتيل مناجات ميشود و شفا يابد و اين مخالف حکمت بالغه الهيّه است بلکه مقصد از طلب شفا اينست که از اجل معلّق محفوظ ماند و از قضای غير محتوم مصون گردد مثلا ملاحظه نمائيد که اين سراج را مقداری معلوم از دهن موجود و چون بسوزد دهن و تمام گردد يقينا خاموش شود از برای اين تغيير و تبديلی نه ولکن ادعيه خيريّه و طلب شفا مانند زجاجست که اين سراج را از بادهای مخالف حفظ نمايد تا بقضای معلّق خاموش نگردد " (ص ٢٠ ج ٣ منتخباتی از مکاتيب حضرت عبدالبهاء)</w:t>
      </w:r>
    </w:p>
    <w:p>
      <w:pPr>
        <w:pStyle w:val="RtlNormal"/>
        <w:bidi/>
      </w:pPr>
      <w:r>
        <w:rPr>
          <w:rtl/>
        </w:rPr>
        <w:t xml:space="preserve">6 - " تلاوت آيات و مناجات مورث انجذاب است و محدث التهاب بنار محبّت ربّ الارباب "</w:t>
      </w:r>
    </w:p>
    <w:p>
      <w:pPr>
        <w:pStyle w:val="RtlNormal"/>
        <w:bidi/>
      </w:pPr>
      <w:r>
        <w:rPr>
          <w:rtl/>
        </w:rPr>
        <w:t xml:space="preserve">(ص ٩ ج ٧ مکاتيب حضرت عبدالبهاء)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بايد اوقات مخصوصه تذکّر و تنبه و دعا و مناجات را فراموش ننمود چه که بدون فضل و عنايت الهيّه موفّقيّت و ترقّی و پيشرفت در امور مشکل بلکه ممتنع و محال " (ص ٦ ج ٦ مائده آسمانی ط ١٢٨ بديع)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vnpy7a0z2qgg8um2pfh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p5ao50shfawqttix1j9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45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45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45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45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z8bnc8dljsa0qgcosj5o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micalx0juz3vntnl2bw9.png"/><Relationship Id="rId1" Type="http://schemas.openxmlformats.org/officeDocument/2006/relationships/image" Target="media/ztdcfr00mj3m6meffky3y.png"/></Relationships>
</file>

<file path=word/_rels/footer2.xml.rels><?xml version="1.0" encoding="UTF-8"?><Relationships xmlns="http://schemas.openxmlformats.org/package/2006/relationships"><Relationship Id="rIdtvnpy7a0z2qgg8um2pfhv" Type="http://schemas.openxmlformats.org/officeDocument/2006/relationships/hyperlink" Target="https://oceanoflights.org/095-ord-prayers-and-meditation-fa" TargetMode="External"/><Relationship Id="rIdop5ao50shfawqttix1j9t" Type="http://schemas.openxmlformats.org/officeDocument/2006/relationships/hyperlink" Target="https://oceanoflights.org" TargetMode="External"/><Relationship Id="rId0" Type="http://schemas.openxmlformats.org/officeDocument/2006/relationships/image" Target="media/nceockq1-4w3gxxi8cnzd.png"/><Relationship Id="rId1" Type="http://schemas.openxmlformats.org/officeDocument/2006/relationships/image" Target="media/at-in6mzccqpvjicgb5xs.png"/><Relationship Id="rId2" Type="http://schemas.openxmlformats.org/officeDocument/2006/relationships/image" Target="media/hpvpvwdgklfxzfztzue7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gn83opsnx1_vtpinhibd.png"/><Relationship Id="rId1" Type="http://schemas.openxmlformats.org/officeDocument/2006/relationships/image" Target="media/ns8iyf-oc-5jk9tma_dk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yswwy6z_o1bzr6dpofh3.png"/><Relationship Id="rId1" Type="http://schemas.openxmlformats.org/officeDocument/2006/relationships/image" Target="media/r6yucc8tr09f7p-ssi13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دعا و مناجات</dc:title>
  <dc:creator>Ocean of Lights</dc:creator>
  <cp:lastModifiedBy>Ocean of Lights</cp:lastModifiedBy>
  <cp:revision>1</cp:revision>
  <dcterms:created xsi:type="dcterms:W3CDTF">2024-07-02T20:55:24.401Z</dcterms:created>
  <dcterms:modified xsi:type="dcterms:W3CDTF">2024-07-02T20:55:24.401Z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