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whose heart overfloweth with love for the Lord!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_qzikmxjo00nbckcmc7vi"/>
      <w:r>
        <w:rPr>
          <w:rtl w:val="false"/>
        </w:rPr>
        <w:t xml:space="preserve">— 9 — </w:t>
      </w:r>
    </w:p>
    <w:p>
      <w:pPr>
        <w:pStyle w:val="Normal"/>
        <w:bidi w:val="false"/>
      </w:pPr>
      <w:r>
        <w:rPr>
          <w:rtl w:val="false"/>
        </w:rPr>
        <w:t xml:space="preserve">O thou whose heart overfloweth with love for the Lord! I address thee from this consecrated spot, to gladden thy bosom with mine epistle to thee, for this is such a letter as maketh the heart of him who believeth in God’s oneness to wing its flight toward the summits of bliss. </w:t>
      </w:r>
    </w:p>
    <w:p>
      <w:pPr>
        <w:pStyle w:val="Normal"/>
        <w:bidi w:val="false"/>
      </w:pPr>
      <w:r>
        <w:rPr>
          <w:rtl w:val="false"/>
        </w:rPr>
        <w:t xml:space="preserve">Thank thou God for having enabled thee to enter into His Kingdom of might. Erelong will thy Lord’s bounties descend upon thee, one following the other, and He will make of thee a sign for every seeker after truth. </w:t>
      </w:r>
    </w:p>
    <w:p>
      <w:pPr>
        <w:pStyle w:val="Normal"/>
        <w:bidi w:val="false"/>
      </w:pPr>
      <w:r>
        <w:rPr>
          <w:rtl w:val="false"/>
        </w:rPr>
        <w:t xml:space="preserve">Hold thou fast to the Covenant of thy Lord, and as the days go by, increase thy store of love for His beloved ones. Bend thou with tenderness over the servitors of the All-Merciful, that thou mayest hoist the sail of love upon the ark of peace that moveth across the seas of life. Let nothing grieve thee, and be thou angered at none. It behooveth thee to be content with the Will of God, and a true and loving and trusted friend to all the peoples of the earth, without any exceptions whatever. This is the quality of the sincere, the way of the saints, the emblem of those who believe in the unity of God, and the raiment of the people of Bahá. </w:t>
      </w:r>
    </w:p>
    <w:p>
      <w:pPr>
        <w:pStyle w:val="Normal"/>
        <w:bidi w:val="false"/>
      </w:pPr>
      <w:r>
        <w:rPr>
          <w:rtl w:val="false"/>
        </w:rPr>
        <w:t xml:space="preserve">Thank thou and bless thou the Lord for He hath allowed thee to offer Him the Right of God.[^1] This is verily a special favor on His part, for thee; praise Him then for this commandment that is set forth in the Scriptures of thy Lord, of Him that is the Ancient of Days. {id="5t" type="par" language="en"}
[1]: Ḥuqúqu’lláh</w:t>
      </w:r>
    </w:p>
    <w:p>
      <w:pPr>
        <w:pStyle w:val="Normal"/>
        <w:bidi w:val="false"/>
      </w:pPr>
      <w:r>
        <w:rPr>
          <w:rtl w:val="false"/>
        </w:rPr>
        <w:t xml:space="preserve">Verily is He the Loving, the Tender, the Ever-Bestowing.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x39tb7wdwsp--flhgf9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u7h1huu6cqusumrg0zg2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dbtxzxg5vazthvttjuj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qzikmxjo00nbckcmc7vi" Type="http://schemas.openxmlformats.org/officeDocument/2006/relationships/hyperlink" Target="#5o" TargetMode="External"/><Relationship Id="rId9" Type="http://schemas.openxmlformats.org/officeDocument/2006/relationships/image" Target="media/lxyfshhzzzvveachkghqi.png"/><Relationship Id="rId10" Type="http://schemas.openxmlformats.org/officeDocument/2006/relationships/image" Target="media/ymmbadp45aeefswdurmhx.png"/></Relationships>
</file>

<file path=word/_rels/footer1.xml.rels><?xml version="1.0" encoding="UTF-8"?><Relationships xmlns="http://schemas.openxmlformats.org/package/2006/relationships"><Relationship Id="rId0" Type="http://schemas.openxmlformats.org/officeDocument/2006/relationships/image" Target="media/7up-rcc1iwjonr9ajntiy.png"/><Relationship Id="rId1" Type="http://schemas.openxmlformats.org/officeDocument/2006/relationships/image" Target="media/wdawifu6mac3eysvsfodt.png"/></Relationships>
</file>

<file path=word/_rels/footer2.xml.rels><?xml version="1.0" encoding="UTF-8"?><Relationships xmlns="http://schemas.openxmlformats.org/package/2006/relationships"><Relationship Id="rIdlx39tb7wdwsp--flhgf9v" Type="http://schemas.openxmlformats.org/officeDocument/2006/relationships/hyperlink" Target="https://oceanoflights.org/abdul-baha-selections-from-the-writings-009-en" TargetMode="External"/><Relationship Id="rIdu7h1huu6cqusumrg0zg2k" Type="http://schemas.openxmlformats.org/officeDocument/2006/relationships/hyperlink" Target="https://oceanoflights.org/file/abdul-baha-selections-from-the-writings-009.m4a" TargetMode="External"/><Relationship Id="rIdxdbtxzxg5vazthvttjujc" Type="http://schemas.openxmlformats.org/officeDocument/2006/relationships/hyperlink" Target="https://oceanoflights.org" TargetMode="External"/><Relationship Id="rId0" Type="http://schemas.openxmlformats.org/officeDocument/2006/relationships/image" Target="media/doxnc1ubjqi8cn87m_m6d.png"/><Relationship Id="rId1" Type="http://schemas.openxmlformats.org/officeDocument/2006/relationships/image" Target="media/rrqv0ijlkbsjcbors0yc3.png"/><Relationship Id="rId2" Type="http://schemas.openxmlformats.org/officeDocument/2006/relationships/image" Target="media/byhgpwenzqo75schedh3g.png"/><Relationship Id="rId3" Type="http://schemas.openxmlformats.org/officeDocument/2006/relationships/image" Target="media/m8ekgudh2ot988rpn3tb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hohb1xj0noaewdb0puij.png"/><Relationship Id="rId1" Type="http://schemas.openxmlformats.org/officeDocument/2006/relationships/image" Target="media/cjtpr-tkk5zelf554oa_h.png"/></Relationships>
</file>

<file path=word/_rels/header2.xml.rels><?xml version="1.0" encoding="UTF-8"?><Relationships xmlns="http://schemas.openxmlformats.org/package/2006/relationships"><Relationship Id="rId0" Type="http://schemas.openxmlformats.org/officeDocument/2006/relationships/image" Target="media/szwlayh8xo8jgyclm9fcd.png"/><Relationship Id="rId1" Type="http://schemas.openxmlformats.org/officeDocument/2006/relationships/image" Target="media/nicaoydmrswbbx0eckfg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whose heart overfloweth with love for the Lord!</dc:title>
  <dc:creator>Ocean of Lights</dc:creator>
  <cp:lastModifiedBy>Ocean of Lights</cp:lastModifiedBy>
  <cp:revision>1</cp:revision>
  <dcterms:created xsi:type="dcterms:W3CDTF">2025-01-30T00:20:27.896Z</dcterms:created>
  <dcterms:modified xsi:type="dcterms:W3CDTF">2025-01-30T00:20:27.896Z</dcterms:modified>
</cp:coreProperties>
</file>

<file path=docProps/custom.xml><?xml version="1.0" encoding="utf-8"?>
<Properties xmlns="http://schemas.openxmlformats.org/officeDocument/2006/custom-properties" xmlns:vt="http://schemas.openxmlformats.org/officeDocument/2006/docPropsVTypes"/>
</file>