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(لوح مقصود) و در مقامی حضرت موجود در سبب و علّت اوّليّه سکون و راحت امم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و در مقامی حضرت موجود در سبب و علّت اوّلیّهٴ سکون و راحت امم و عمار عالم میفرماید: لابدّ بر این است مجمع بزرگی در ارض برپا شود و ملوک و سلاطین در آن مجمع مفاوضه در صلح اکبر نمایند و آن این است که دول عظیمه برای آسایش عالم بصلح محکم متشبّث شوند و اگر ملکی بر ملکی برخیزد جمیع متّفقاً بر منع قیام نمایند در این صورت عالم محتاج بمهمّات حربیّه و صفوف عسکریّه نبوده و نیست الّا علی قدر یحفظون به ممالکهم و بلدانهم اینست سبب آسایش دولت و رعیّت و مملکت انشآءالله ملوک و سلاطین که مرایای اسم عزیز الهیند باین مقام فائز شوند و عالم را از سطوت ظلم محفوظ دارند...</w:t>
      </w:r>
    </w:p>
    <w:p>
      <w:pPr>
        <w:pStyle w:val="RtlNormalLow"/>
        <w:bidi/>
      </w:pPr>
      <w:r>
        <w:rPr>
          <w:rtl/>
        </w:rPr>
        <w:t xml:space="preserve">عنقریب جمیع اهل عالم بیک لسان و یک خطّ مزیّن در این صورت هر نفسی بهر بلدی توجّه نماید مثل آن است که در بیت خود وارد شده این امور لازم و واجب هر ذی بصر و سمعی باید جهد نماید تا اسباب آنچه ذکر شد از عالم الفاظ و اقوال بعرصهٴ شهود و ظهور آید...</w:t>
      </w:r>
    </w:p>
    <w:p>
      <w:pPr>
        <w:pStyle w:val="RtlNormalLow"/>
        <w:bidi/>
      </w:pPr>
      <w:r>
        <w:rPr>
          <w:rtl/>
        </w:rPr>
        <w:t xml:space="preserve">امروز انسان کسی است که بخدمت جمیع من علی الأرض قیام نماید حضرت موجود میفرماید: "طوبی لمن أصبح قائما علی خدمة الأمم"، و در مقام دیگر میفرماید: "لیس الفخر لمن یحبّ الوطن بل لمن یحبّ العالم" انتهی. فی‌الحقیقه عالم یک وطن محسوب است و من علی الأرض اهل آن...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6ik5ghcx5ig9mgqqntwx4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3g8xxh751o6u0pijrnb0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0fuzlzeczwjtmmysvaqz3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67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677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678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67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ogv4bdqlf7jcadb42klcu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p-e4f3cxqcfgy-ycrlrm.png"/><Relationship Id="rId1" Type="http://schemas.openxmlformats.org/officeDocument/2006/relationships/image" Target="media/h6mwmmjl_0luh3u-i1ol0.png"/></Relationships>
</file>

<file path=word/_rels/footer2.xml.rels><?xml version="1.0" encoding="UTF-8"?><Relationships xmlns="http://schemas.openxmlformats.org/package/2006/relationships"><Relationship Id="rId6ik5ghcx5ig9mgqqntwx4" Type="http://schemas.openxmlformats.org/officeDocument/2006/relationships/hyperlink" Target="https://oceanoflights.org/bahaullah-pub02-117-fa" TargetMode="External"/><Relationship Id="rIdg3g8xxh751o6u0pijrnb0" Type="http://schemas.openxmlformats.org/officeDocument/2006/relationships/hyperlink" Target="https://oceanoflights.org/file/bahaullah-pub02-117_fa.m4a" TargetMode="External"/><Relationship Id="rId0fuzlzeczwjtmmysvaqz3" Type="http://schemas.openxmlformats.org/officeDocument/2006/relationships/hyperlink" Target="https://oceanoflights.org" TargetMode="External"/><Relationship Id="rId0" Type="http://schemas.openxmlformats.org/officeDocument/2006/relationships/image" Target="media/bjtl51ftvr-pnthqrakq4.png"/><Relationship Id="rId1" Type="http://schemas.openxmlformats.org/officeDocument/2006/relationships/image" Target="media/dfbk2_evd_plzuytxjjp3.png"/><Relationship Id="rId2" Type="http://schemas.openxmlformats.org/officeDocument/2006/relationships/image" Target="media/cmhuji9mqwp1eanxyle4i.png"/><Relationship Id="rId3" Type="http://schemas.openxmlformats.org/officeDocument/2006/relationships/image" Target="media/xnu9vfyfegcwm8v7s7uf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abhcw4cs0owdk0j0owfs.png"/><Relationship Id="rId1" Type="http://schemas.openxmlformats.org/officeDocument/2006/relationships/image" Target="media/rvhnn4s5sdlawk8tf9a9g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icwsdluop_h3flws-eyv.png"/><Relationship Id="rId1" Type="http://schemas.openxmlformats.org/officeDocument/2006/relationships/image" Target="media/qp1w0clawcmxrknsjckzx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(لوح مقصود) و در مقامی حضرت موجود در سبب و علّت اوّليّه سکون و راحت امم</dc:title>
  <dc:creator>Ocean of Lights</dc:creator>
  <cp:lastModifiedBy>Ocean of Lights</cp:lastModifiedBy>
  <cp:revision>1</cp:revision>
  <dcterms:created xsi:type="dcterms:W3CDTF">2024-10-29T21:06:03.254Z</dcterms:created>
  <dcterms:modified xsi:type="dcterms:W3CDTF">2024-10-29T21:06:03.254Z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