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بنام خداوند بى مثل و مانند - قلم رحمن قاصدان يمن عرفان...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nclwkbowtsgwx5yv0jwr"/>
      <w:r>
        <w:rPr>
          <w:rtl/>
        </w:rPr>
        <w:t xml:space="preserve">از اثار حضرت بهاءالله - آثار قلم اعلى - جلد ۳ (١٦٣ بديع)، لوح رقم (۶۸)، صفحه ۹۱ - ۹۰</w:t>
      </w:r>
    </w:p>
    <w:p>
      <w:pPr>
        <w:pStyle w:val="Heading2"/>
        <w:pStyle w:val="RtlHeading2Low"/>
        <w:bidi/>
      </w:pPr>
      <w:hyperlink w:history="1" r:id="rIdpugv3xycdu-j_htlitgvr"/>
      <w:r>
        <w:rPr>
          <w:rtl/>
        </w:rPr>
        <w:t xml:space="preserve">بنام خداوند بى مثل و مانند</w:t>
      </w:r>
    </w:p>
    <w:p>
      <w:pPr>
        <w:pStyle w:val="RtlNormalLow"/>
        <w:bidi/>
      </w:pPr>
      <w:r>
        <w:rPr>
          <w:rtl/>
        </w:rPr>
        <w:t xml:space="preserve">قلم رحمن قاصدان يمن عرفان را به‌بدايع اذکار خود متذکّر‌ميدارد که شايد‌کلّ از‌خواهشهاى خود بگذرند و به‌امر‌ او ناظر‌باشند و به‌اراده او‌حرکت نمايند و‌ اين‌‌فضل‌ اعظم است از‌ براى کلّ اگر بيابند و به‌آن فائز شوند. شکّى نبوده و نيست که آنچه‌ را حقّ به‌آن امر مى‌فرمايد اوست کوثر‌حيوان و‌ محيى ابدان چه که لم يزل و لا‌يزال به‌احبّاى خود ناظر بوده و آنچه سبب نجات و راحت و وصول به‌حقّ بوده‌کل را‌ به‌ آن امر فرموده. اليوم بر‌ کلّ‌لازم است که به‌رداى تقديس و تنزيه مزيّن شوند چه‌که نفوسى که به‌مشتهيّات نفسانيّه متوجّهند قابل مقرّ اطهر و‌لايق منظر‌اکبر نبوده و‌نيستند. حق‌لم يزل بر‌عرش توحيد مستقرّ و‌از‌براى او شبه و ندّى نبوده و نيست. ان‌شاء‌اللّه به‌عنايت‌اللّه کلّ به‌اين مقام فائز شوند و از دونش منقطع و آزاد‌گردند. اليوم بر شما‌ لازم که به‌خدمت امر قيام نمائيد و به‌استقامت تمام ظاهر‌ باشيد بشأنى که‌کلمات متوهّمين شما‌ را از ربّ العالمين منع ننمايد. جز او را فانى دانيد و بر حبّش مستقيم مانيد. نيکوست حال نفوسى‌که اليوم کوثر‌عرفان را از دست عطاى حضرت رحمن‌آشاميدند. ايشانند افضل ناس و اسبقهم و اقربهم الی‌اللّه. حمد کنيد محبوب عالم را که به‌حبّش فائزيد و به‌ذکرش ناطق‌از او بخواهيد که شما را بشانى مستقيم نمايد که احدى قادر بر منع نباشد. البهاء عليکم يا احبّائى.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kimmzj2frprvgfp-ko7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1uakeuvsbsere1s3mhnc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4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4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5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4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nclwkbowtsgwx5yv0jwr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782;&#1784;-&#1589;&#1601;&#1581;&#1607;-&#1785;&#1777;---&#1785;&#1776;" TargetMode="External"/><Relationship Id="rIdpugv3xycdu-j_htlitgvr" Type="http://schemas.openxmlformats.org/officeDocument/2006/relationships/hyperlink" Target="#&#1576;&#1606;&#1575;&#1605;-&#1582;&#1583;&#1575;&#1608;&#1606;&#1583;-&#1576;&#1609;-&#1605;&#1579;&#1604;-&#1608;-&#1605;&#1575;&#1606;&#1606;&#1583;" TargetMode="External"/><Relationship Id="rId9" Type="http://schemas.openxmlformats.org/officeDocument/2006/relationships/image" Target="media/gpn3xapt1sj_d5thqqyz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ruubiwwpu5egisvy-dmv.png"/><Relationship Id="rId1" Type="http://schemas.openxmlformats.org/officeDocument/2006/relationships/image" Target="media/cdnngooaxssf1pslb6ysf.png"/></Relationships>
</file>

<file path=word/_rels/footer2.xml.rels><?xml version="1.0" encoding="UTF-8"?><Relationships xmlns="http://schemas.openxmlformats.org/package/2006/relationships"><Relationship Id="rIdxkimmzj2frprvgfp-ko7q" Type="http://schemas.openxmlformats.org/officeDocument/2006/relationships/hyperlink" Target="https://oceanoflights.org/bahaullah-pub07-068-fa" TargetMode="External"/><Relationship Id="rId01uakeuvsbsere1s3mhnc" Type="http://schemas.openxmlformats.org/officeDocument/2006/relationships/hyperlink" Target="https://oceanoflights.org" TargetMode="External"/><Relationship Id="rId0" Type="http://schemas.openxmlformats.org/officeDocument/2006/relationships/image" Target="media/h8rmfeqv-2svnh4qmbism.png"/><Relationship Id="rId1" Type="http://schemas.openxmlformats.org/officeDocument/2006/relationships/image" Target="media/wiweswa5febnd1znwsuag.png"/><Relationship Id="rId2" Type="http://schemas.openxmlformats.org/officeDocument/2006/relationships/image" Target="media/gh2ctlj70qtryu40bce-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qh8ypow8ap5ucozghsww.png"/><Relationship Id="rId1" Type="http://schemas.openxmlformats.org/officeDocument/2006/relationships/image" Target="media/mrop-ttljrayyhj2smcz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ggjxqvp_lmdquvmpoj0x.png"/><Relationship Id="rId1" Type="http://schemas.openxmlformats.org/officeDocument/2006/relationships/image" Target="media/2cecxpaggl6zgcufxjy1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خداوند بى مثل و مانند - قلم رحمن قاصدان يمن عرفان...</dc:title>
  <dc:creator>Ocean of Lights</dc:creator>
  <cp:lastModifiedBy>Ocean of Lights</cp:lastModifiedBy>
  <cp:revision>1</cp:revision>
  <dcterms:created xsi:type="dcterms:W3CDTF">2025-07-13T04:30:23.583Z</dcterms:created>
  <dcterms:modified xsi:type="dcterms:W3CDTF">2025-07-13T04:30:23.584Z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