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پیام حضرت بهاءالله به پیشوایان مسیحی</w:t>
      </w:r>
    </w:p>
    <w:p>
      <w:pPr>
        <w:pStyle w:val="RtlAuthor"/>
        <w:bidi/>
      </w:pPr>
      <w:r>
        <w:t xml:space="preserve">حضرت ولی امراللّه</w:t>
      </w:r>
    </w:p>
    <w:p>
      <w:pPr>
        <w:pStyle w:val="RtlDescription"/>
        <w:bidi/>
      </w:pPr>
      <w:r>
        <w:t xml:space="preserve">ترجمه شده</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RtlHeading2Low"/>
        <w:bidi/>
      </w:pPr>
      <w:hyperlink w:history="1" r:id="rIdc-rcmfpvdc4dynqcpr9il"/>
      <w:r>
        <w:rPr>
          <w:rtl/>
        </w:rPr>
        <w:t xml:space="preserve">پیام حضرت بهاءالله به پیشوایان مسیحی </w:t>
      </w:r>
    </w:p>
    <w:p>
      <w:pPr>
        <w:pStyle w:val="RtlNormalLow"/>
        <w:bidi/>
      </w:pPr>
      <w:r>
        <w:rPr>
          <w:rtl/>
        </w:rPr>
        <w:t xml:space="preserve">هرگاه باثار و الواح موسس دیانت بهائی نظر افکنیم این حقیقت مهم و قابل ملاحظه بر ما آشکار میشود . کسیکه پیام جاوید بتمام سلاطین ارض جمعا خطاب کرد - کسیکه بهر یک از تاجداران نامدار اروپا و آسیا لوح نازل فرموده - کسیکه بطبقهٴ پیشوایان مذهبی اسلام اعم از سنی و شیعه ندای خود را صلا زد - همان کسیکه حتی یهودیان و زردشتیان رااز نظر دور نداشته صرف نظر از خطابات نصیحه و قهریه که کرارا و مرارا بتمام عالم مسیحی خطاب فرموده پیامهای مخصوص نیز که بعضی عمومی و بعضی دیگر موجز و احتجاج آمیز است بروسأ و همچنین بطبقات مختلفهٴ علمای مسیحی از پاپ و سلاطین گرفته تا بطارکه و مطارنه و اساقفه و قسیس ها و رهبان خطاب فرموده است . سابقا بمناسبت پیامهائی که حضرت بهاءالله بتاجداران ارض فرستاده ما بعضی فقرات لوح پاپ و همچنین بعضی عبارات و الواح ملوک مسیحی را ذکر کردیم و اکنون میخواهیم به بیاناتی بپردازیم که در آنها روسای کلیسا و طبقات مختلفه آن منفردا از خامه حضرت بهاءالله مورد نصح و تذکر قرار گرفته اند: </w:t>
      </w:r>
    </w:p>
    <w:p>
      <w:pPr>
        <w:pStyle w:val="RtlNormalLow"/>
        <w:bidi/>
      </w:pPr>
      <w:r>
        <w:rPr>
          <w:rtl/>
        </w:rPr>
        <w:t xml:space="preserve">” بگو ای ملأ بطارکه کسی را که در الواح موعود بودید آمده است . از خدا بترسید و خیالات باطل و اوهام را متابعت ننمائید آنچه را دارید ترک کنید و بلوح الهی بسلطان قدرت او تشبث جوئید برای شما آن از تمام دارائیها بهتر است . هر قلب دانا و هر شخص بصیر بر این مطلب شهادت میدهد . باسم من تفاخر مینمائید و از من محجوبید و این شئی عجیبی است ( ترجمه ) .“ </w:t>
      </w:r>
    </w:p>
    <w:p>
      <w:pPr>
        <w:pStyle w:val="RtlNormalLow"/>
        <w:bidi/>
      </w:pPr>
      <w:r>
        <w:rPr>
          <w:rtl/>
        </w:rPr>
        <w:t xml:space="preserve">” بگو ای ملا مطارنه پروردگار همه بندگان ظاهر شده است او مردم را در میدان هدایت میخواند و شما در میان مردگان محشورید مبارک کسی که نسیم الهی او را حیات بخشیده و از میان مردگان باین اسم مبین قیام نماید ( ترجمه ) .“ </w:t>
      </w:r>
    </w:p>
    <w:p>
      <w:pPr>
        <w:pStyle w:val="RtlNormalLow"/>
        <w:bidi/>
      </w:pPr>
      <w:r>
        <w:rPr>
          <w:rtl/>
        </w:rPr>
        <w:t xml:space="preserve">”  بگو ای ملأ اساقفه تمام اقوام روی زمین بلرزه آمده اند و پدر ابدی میان زمین و آسمان ندا میکند . خوشا بحال گوشی که شنید و چشمی که دید و قلبی که توجه نمود بکسیکه قبلهٴ اهل آسمان و زمین است ( ترجمه ) .“ </w:t>
      </w:r>
    </w:p>
    <w:p>
      <w:pPr>
        <w:pStyle w:val="RtlNormalLow"/>
        <w:bidi/>
      </w:pPr>
      <w:r>
        <w:rPr>
          <w:rtl/>
        </w:rPr>
        <w:t xml:space="preserve">” یا ملأ الاساقف انتم انجم سمأ علمی فضلی لا یحب ان تتساقطوا علی وجه الارض و لکن عدلی یقول هذا ما قضی من لدی الابن ( عیسی ) و لا یتغیر ما خرج من فمه الطاهر الصادق  الامین ان الناقوس یصیح باسمی و ینوح لنفسی و لکن الروح فی سرور مبین قل جسد الحبیب یشتاق الصلیب و راسه اراد السنان فی سبیل الرحمن انه لا تمنعه عما اراد سطوة الظالمین “ و نیز میفرماید: </w:t>
      </w:r>
    </w:p>
    <w:p>
      <w:pPr>
        <w:pStyle w:val="RtlNormalLow"/>
        <w:bidi/>
      </w:pPr>
      <w:r>
        <w:rPr>
          <w:rtl/>
        </w:rPr>
        <w:t xml:space="preserve">”  قد سقطت انجم سمأ العلم الذین یستدلون بما عندهم لاثبات امری و یذکرون الله باسمی فلما جئتهم بمجدی اعرضوا عنی الا انهم من الساقطین هذا ما اخبرکم به الروح ( مسیح ) اذ اتی بالحق و اعترض علیه علمأ الیهود الی ان ارتکبوا ما ناح به روح القدس و ذرفت عیون المقربین .“ </w:t>
      </w:r>
    </w:p>
    <w:p>
      <w:pPr>
        <w:pStyle w:val="RtlNormalLow"/>
        <w:bidi/>
      </w:pPr>
      <w:r>
        <w:rPr>
          <w:rtl/>
        </w:rPr>
        <w:t xml:space="preserve">” قل یا ملأ القسیس دعوا النواقیس ثم اخرجوا من الکنائس ینبغی لکم الیوم ان تصیحوا بین الام بهذا الاسم الاعظم اتختارون الصمت بعد اذ بصیح کل حجر و شجر باعلی الندأ قد اتی الرب ذوالمجد الکبیرً …. من یدع الناس باسمی انه منی و یظهر منه ما یعجز عنه من علی الارض کلها استیقظوا من نسمة الله انها فاحت فی العالم طوبی لمن وجد عرفها و کان من الموقنین .“  و نیز میفرماید: </w:t>
      </w:r>
    </w:p>
    <w:p>
      <w:pPr>
        <w:pStyle w:val="RtlNormalLow"/>
        <w:bidi/>
      </w:pPr>
      <w:r>
        <w:rPr>
          <w:rtl/>
        </w:rPr>
        <w:t xml:space="preserve">“ ای ملأ قسیس روز حساب فرا رسیده و آنکه در آسمان بوده آمده است بدرستیکه او همان کسی است که در کتب خداوند مقدس و مقتدر و محمود بان وعده داده شده بودید . تا کی در بیابانهای غفلت و گمراهی سرگردانید ؟ بقلوب خود بطرف خداوند بخشاینده مهربان توجه نمائید ( ترجمه ) .“ </w:t>
      </w:r>
    </w:p>
    <w:p>
      <w:pPr>
        <w:pStyle w:val="RtlNormalLow"/>
        <w:bidi/>
      </w:pPr>
      <w:r>
        <w:rPr>
          <w:rtl/>
        </w:rPr>
        <w:t xml:space="preserve">”  یا ملأ الرهبان لا تعتکفوا فی الکنائس و المعابد اخرجوا باذنی ثم اشتغلوا بما تنتفع به انفسکم و انفس العباد کذلک یامرکم مالک یوم الدین اعتکفوا فی حصن حبی هذا حق الاعتکاف لو کنتم من العارفین من جاور البیت انه کالمیت ینبغی للانسان ان یظهر منه ما ینفع به العباد و الذی لیس له ثمر ینبغی للنار کذلک یعظکم ربکم انه هوالعزیز الکریم . تزوجوا لیقوم بعدکم احد مقامکم انا منعناکم عن الخیانة لا عما تظهر به الامانة أاخذتم اصول انفسکم و نبذتم اصول الله ورائکم اتقوا الله و لا تکونوا من الجاهلین لو لا الانسان من یذکرنی فی ارضی و کیف تظهر صفاتی و اسمائی تفکروا و لا تکونوا من الذین احتجبوا و کانوا من الراقدین ان الذی ما نزوج ( مسیح ) ما وجد مقرا لیسکن فیه او یضع راسه علیه بما اکتسبت ایدی الخائنین . لیس تقدیس نفسه بما عرفتم و عندکم من الاوهام بل بما عندنا اسئلوا لتعرفوا مقامه الذی کان مقدسا عن ظنون من علی الارض کلها طوبی للعارفین . “  و نیز میفرماید: </w:t>
      </w:r>
    </w:p>
    <w:p>
      <w:pPr>
        <w:pStyle w:val="RtlNormalLow"/>
        <w:bidi/>
      </w:pPr>
      <w:r>
        <w:rPr>
          <w:rtl/>
        </w:rPr>
        <w:t xml:space="preserve">”  یا ملأ الرهبان  ان اتبعونی اجعلکم وراثا لملکوتی و ان عصیتمونی اصبر بحلمی و انا الغفور الرحیم … قد تحرکت بیت لحم من نسمة الله نسمع ندائها تقول یا ربی الکریم این استقر مجدک العظیم قد احیتنی نفحات وصلک بعد اذ اذا بنی هجرک لک الحمد بما کشفت السبحات و جئت مع القوات بجلال مبین نادیناها عن ورأ سرادق العظمة و الکبریأ ییا بیت لحم قد ظهر هذا النور من المشرق و سار الی المغرب الی ان اتاک فی آخر ایامه فاخبرنی هل الابنأ یعرفون الاب و یقرون له او ینکرونه کما انکر القوم من قبل عند ذلک ارتفع صریخها و قالت انت العلیم الخبیر.“ </w:t>
      </w:r>
    </w:p>
    <w:p>
      <w:pPr>
        <w:pStyle w:val="RtlNormalLow"/>
        <w:bidi/>
      </w:pPr>
      <w:r>
        <w:rPr>
          <w:rtl/>
        </w:rPr>
        <w:t xml:space="preserve">و همچنین میفرماید: </w:t>
      </w:r>
    </w:p>
    <w:p>
      <w:pPr>
        <w:pStyle w:val="RtlNormalLow"/>
        <w:bidi/>
      </w:pPr>
      <w:r>
        <w:rPr>
          <w:rtl/>
        </w:rPr>
        <w:t xml:space="preserve">” انظر فی هذا الزمان کم من الرهبان اعتکفوا فی الکنائس باسمی فلما تم المیقات و کشفنا لهم الجمال ما عرفونی بعد اذ یدعوننی بالعشی و الاشراق.“ </w:t>
      </w:r>
    </w:p>
    <w:p>
      <w:pPr>
        <w:pStyle w:val="RtlNormalLow"/>
        <w:bidi/>
      </w:pPr>
      <w:r>
        <w:rPr>
          <w:rtl/>
        </w:rPr>
        <w:t xml:space="preserve">و باز بانها خطاب میفرماید: </w:t>
      </w:r>
    </w:p>
    <w:p>
      <w:pPr>
        <w:pStyle w:val="RtlNormalLow"/>
        <w:bidi/>
      </w:pPr>
      <w:r>
        <w:rPr>
          <w:rtl/>
        </w:rPr>
        <w:t xml:space="preserve">” اتقرؤن الانجیل و لا تقرون للرب الجلیل هذا لا ینبغی لکم یا ملأ الاحبار … قد تضوعت نفحات الرحمن فی الامکان طوبی لمن نبذ الهوی و اخذ الهدی .“ </w:t>
      </w:r>
    </w:p>
    <w:p>
      <w:pPr>
        <w:pStyle w:val="RtlNormalLow"/>
        <w:bidi/>
      </w:pPr>
      <w:r>
        <w:rPr>
          <w:rtl/>
        </w:rPr>
        <w:t xml:space="preserve">این” انجم ساقطه “ آسمان دیانت مسیح و این ”غیوم کاثفه “ که تجلی دیانت حقیقی الهیه را کدر کرده و این اعاظم دین مسیح که از شناسائی ملکوت ( سلطان السلاطین ) محروم مانده و این خدام گمراه ابن که سلطنت موعودی را که ” اب ابدی “ از آسمان آورده و اینک بر سطح زمین مستقر میسازد انکار کرده اند - اینها در این روز - حساب به بحرانی دوچار شده اند که هر چند بشدت مصائب علمای اسلام دشمنان لدود دین الله نیست ولی در وسعت و اهمیت کمتر از آنهم نمیباشد . هر آینه از علمای رسومی که هر چند باسم دیانت صحبت میدارند ولی فرسنگها از روح دیانت دورند قدرت اخذ شده و باز هم بیشتر اخذ میشود. </w:t>
      </w:r>
    </w:p>
    <w:p>
      <w:pPr>
        <w:pStyle w:val="RtlNormalLow"/>
        <w:bidi/>
      </w:pPr>
      <w:r>
        <w:rPr>
          <w:rtl/>
        </w:rPr>
        <w:t xml:space="preserve">تنها اگر باطراف خود نظر افکنیم و در سرنوشت مراتب مختلفه علمای مسیحی مطالعه کنیم بخوبی در خواهیم یافت چگونه نفوذشان در شرف زوال و قدرتشان رو بانحطاط و حیثیت و اعتبارشان در خسران و اقتدار شان در معرض هوان و مجامعشان رو بتقلیل و انتظاماتشان مختل و نشریاتشان محدود و پیشوایانشان جبون و صفوفشان مشوش و املاک و دارائیشان متدرجا توقیف و بعضی قلاع مستحکمه شان در حال تسلیم و موسسات دیگر قدیم و محبوبشان منحل میگردد . شکی نیست از موقعیکه خطابات الهیه صادر و دعوتها فرستاده شد و انذار الهی طنین انداز گردید و فتوای محکومیت نزول یافت این جریان که میتوان گفت با سقوط اریکه سلطنت صوری پاپ کمی پس از نزول لوح پاپ شروع شده از آن پس همواره رو بشدت رفته و حتی اساس آن موسسات که تمام آن مراتب بر آن مستقر بوده مورد تهدید قرار گرفته است . بکمک قوائی که نهضت کمونیستی پدید آورده و در نتیجه عواقب سیاسی جنگ اخیر و بر اثر فشار ملیت مفرطه و جاهلانه و متجاوز و خونریز که اکنون ملل را مضطرب ساخته و بعلت قوای متزایدهٴ مادیت وبیدینی و انکار خدا این جریان نه فقط بطرف واژگون ساختن موسسات مذهبی می گراید بلکه تصور میرود منجر بکفر جماعات کثیری از اهل کشورهای عدیده مسیحی خواهد گردید </w:t>
      </w:r>
    </w:p>
    <w:p>
      <w:pPr>
        <w:pStyle w:val="RtlNormalLow"/>
        <w:bidi/>
      </w:pPr>
      <w:r>
        <w:rPr>
          <w:rtl/>
        </w:rPr>
        <w:t xml:space="preserve">اکنون اکتفا میکنم بذکر بعضی از بروزات برجستهٴ این قوه که متزایدا بمیدان و قلاع مستحکمه یکی از تشکیلات دینی عمده نوع انسان هجوم میبرد . انقراض معنوی قدرت صوری بزرگترین حکمرانان عالم مسیحیت بلافاصله پس از تاسیس سلطنت ایطالیا جریان ضد موسسات مذهبی که پس از سقوط امپراطوری ناپلئون بر فرانسه مستولی شد و منجر بانفصال کامل کلیسای کاتولیک از دولت و عرفی شدن جمهوری سوم و انفکاک تعلیم و تربیت از ظل دیانت و زوال و تفرقهٴ سلسله مراتب دیانتی گردید پیدایش بغتی و سریع مذهب لا مذهبی آن هجوم جسورانه و عامدانه و مرتبی که در روسیه شوروی بر علیه کلیسای ارتودوکس بعمل آمد که منجر بانحلال دیانت رسمی گردید و عدهٴ کثیری از اعضای آن عدهٴ اصلی آنها از صد ملیون نفر تجاوز میکرد بقتل رسیدند و هزاران هزار کلیسا و صومعه و کنیسه و مسجد منهدم و تعطیل و یا مبدل بموزه و تئاتر و انبار گردید و کلیسا را از شش ملیون و نیم جریب املاک موقوفاتش محروم ساخت و بوسیلهٴ یک خزب بیدین و جنگجو و انتشار ” یک نقشه پنج ساله خدا ناشناسی “ در صدد برآمد اساس حیات دیانتی جمهور را سست و ضعیف گرداند - تجزیهٴ سلطنت اطریش و هنگری که مقتدرترین قوهٴ مطیع کلیسای روم و حامی موسسات آن بود به یک ضربت منحل گردید انفکاک حکومت اسپانیا از همان کلیسا و واژگون ساختن اساس سلطنتی که حامی مذهب کاتولیک بود فلسفه ملیت که مولد حس ملیت نامحدود و منسوخ بوده و پس از سرنگون ساختن اریکهٴ اسلام بطور غیر مستقیم بر جبههٴ کلیسا در کشورهای غیر مسیحی حمله برده و در ایران و ترکیه و شرق اقصی چنان ضربتهائی هولناکی به هیئت های دینی کاتولیک و پرتستانهای انگلیکن و پرسبیتارین وارد میاورد جنبش انقلابی که ایذای به کلیسای کاتولیکی را در مکزیک نتیجه داد و بالاخره عقیدیدهٴ بیدینی جدید که جنبه بی پروا و مهاجم و بیرحمانه دارد و در سالهای قبل از اغتشاش کنونی و در زمان شروع آن متزایدا بر تمام قاره اروپا تاخته و قلاع را خراب کرده و در قلوب حامیان مذاهب کاتولیک و ارتودوکس یونانی و کلیساهای لوتریان در اتریش و لهستان و کشورهای بالتیک و اسکاندیناوی و جدیدا در اروپای غربی موطن و مرکز مقتدرترین بساط دینی مسیحیت تخم اغتشاش کاشته است .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vjvnfongeeqce9x9ryght">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cv2_fm42u5fp4drdpyo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1urss9earn5-x6lofwid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2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2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2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2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2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c-rcmfpvdc4dynqcpr9il" Type="http://schemas.openxmlformats.org/officeDocument/2006/relationships/hyperlink" Target="#bleg" TargetMode="External"/><Relationship Id="rId9" Type="http://schemas.openxmlformats.org/officeDocument/2006/relationships/image" Target="media/e8ehskxaykxhficiovqej.png"/></Relationships>
</file>

<file path=word/_rels/footer1.xml.rels><?xml version="1.0" encoding="UTF-8"?><Relationships xmlns="http://schemas.openxmlformats.org/package/2006/relationships"><Relationship Id="rId0" Type="http://schemas.openxmlformats.org/officeDocument/2006/relationships/image" Target="media/pkevptg0mstrpif3plnzr.png"/><Relationship Id="rId1" Type="http://schemas.openxmlformats.org/officeDocument/2006/relationships/image" Target="media/u3e0vzruvmsqoq8ktjr4h.png"/></Relationships>
</file>

<file path=word/_rels/footer2.xml.rels><?xml version="1.0" encoding="UTF-8"?><Relationships xmlns="http://schemas.openxmlformats.org/package/2006/relationships"><Relationship Id="rIdvjvnfongeeqce9x9ryght" Type="http://schemas.openxmlformats.org/officeDocument/2006/relationships/hyperlink" Target="https://oceanoflights.org/promissed-day-is-come-25-fa" TargetMode="External"/><Relationship Id="rId-cv2_fm42u5fp4drdpyoj" Type="http://schemas.openxmlformats.org/officeDocument/2006/relationships/hyperlink" Target="https://oceanoflights.org/file/promissed-day-has-come-025.m4a" TargetMode="External"/><Relationship Id="rId1urss9earn5-x6lofwidd" Type="http://schemas.openxmlformats.org/officeDocument/2006/relationships/hyperlink" Target="https://oceanoflights.org" TargetMode="External"/><Relationship Id="rId0" Type="http://schemas.openxmlformats.org/officeDocument/2006/relationships/image" Target="media/zllje_djzoajrb29mxtub.png"/><Relationship Id="rId1" Type="http://schemas.openxmlformats.org/officeDocument/2006/relationships/image" Target="media/epkc7yreslsoofifadhzt.png"/><Relationship Id="rId2" Type="http://schemas.openxmlformats.org/officeDocument/2006/relationships/image" Target="media/-f2d3woe1uvntavv08a5b.png"/><Relationship Id="rId3" Type="http://schemas.openxmlformats.org/officeDocument/2006/relationships/image" Target="media/1bn3zazmyth1ueotlvzcp.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rmthhadf3wiljtobdizx5.png"/><Relationship Id="rId1" Type="http://schemas.openxmlformats.org/officeDocument/2006/relationships/image" Target="media/domndetugxljp_9qzweyj.png"/></Relationships>
</file>

<file path=word/_rels/header2.xml.rels><?xml version="1.0" encoding="UTF-8"?><Relationships xmlns="http://schemas.openxmlformats.org/package/2006/relationships"><Relationship Id="rId0" Type="http://schemas.openxmlformats.org/officeDocument/2006/relationships/image" Target="media/cx1ptmcfiolqs-dbvmrxa.png"/><Relationship Id="rId1" Type="http://schemas.openxmlformats.org/officeDocument/2006/relationships/image" Target="media/sdyrgztft8vtpkyfux8r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پیام حضرت بهاءالله به پیشوایان مسیحی</dc:title>
  <dc:creator>Ocean of Lights</dc:creator>
  <cp:lastModifiedBy>Ocean of Lights</cp:lastModifiedBy>
  <cp:revision>1</cp:revision>
  <dcterms:created xsi:type="dcterms:W3CDTF">2026-01-29T17:51:10.303Z</dcterms:created>
  <dcterms:modified xsi:type="dcterms:W3CDTF">2026-01-29T17:51:10.303Z</dcterms:modified>
</cp:coreProperties>
</file>

<file path=docProps/custom.xml><?xml version="1.0" encoding="utf-8"?>
<Properties xmlns="http://schemas.openxmlformats.org/officeDocument/2006/custom-properties" xmlns:vt="http://schemas.openxmlformats.org/officeDocument/2006/docPropsVTypes"/>
</file>