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8"/>
        <w:gridCol w:w="7390"/>
        <w:gridCol w:w="7390"/>
      </w:tblGrid>
      <w:tr w:rsidR="00856F92" w:rsidTr="009439C7">
        <w:tc>
          <w:tcPr>
            <w:tcW w:w="458" w:type="dxa"/>
            <w:tcBorders>
              <w:top w:val="nil"/>
              <w:left w:val="nil"/>
              <w:bottom w:val="nil"/>
              <w:right w:val="nil"/>
            </w:tcBorders>
            <w:tcMar>
              <w:top w:w="0" w:type="dxa"/>
              <w:left w:w="0" w:type="dxa"/>
              <w:bottom w:w="0" w:type="dxa"/>
              <w:right w:w="0" w:type="dxa"/>
            </w:tcMar>
          </w:tcPr>
          <w:p w:rsidR="00856F92" w:rsidRDefault="00856F92"/>
        </w:tc>
        <w:tc>
          <w:tcPr>
            <w:tcW w:w="7390" w:type="dxa"/>
            <w:tcBorders>
              <w:top w:val="nil"/>
              <w:left w:val="nil"/>
              <w:bottom w:val="nil"/>
              <w:right w:val="nil"/>
            </w:tcBorders>
            <w:tcMar>
              <w:top w:w="0" w:type="dxa"/>
              <w:left w:w="0" w:type="dxa"/>
              <w:bottom w:w="0" w:type="dxa"/>
              <w:right w:w="0" w:type="dxa"/>
            </w:tcMar>
          </w:tcPr>
          <w:p w:rsidR="00856F92" w:rsidRDefault="00DC72B1">
            <w:pPr>
              <w:pStyle w:val="Title"/>
            </w:pPr>
            <w:proofErr w:type="spellStart"/>
            <w:r>
              <w:t>Lawḥ-i-Salmán</w:t>
            </w:r>
            <w:proofErr w:type="spellEnd"/>
            <w:r>
              <w:t xml:space="preserve"> I</w:t>
            </w:r>
          </w:p>
        </w:tc>
        <w:tc>
          <w:tcPr>
            <w:tcW w:w="7390" w:type="dxa"/>
            <w:tcBorders>
              <w:top w:val="nil"/>
              <w:left w:val="nil"/>
              <w:bottom w:val="nil"/>
              <w:right w:val="nil"/>
            </w:tcBorders>
            <w:tcMar>
              <w:top w:w="0" w:type="dxa"/>
              <w:left w:w="0" w:type="dxa"/>
              <w:bottom w:w="0" w:type="dxa"/>
              <w:right w:w="0" w:type="dxa"/>
            </w:tcMar>
          </w:tcPr>
          <w:p w:rsidR="00856F92" w:rsidRDefault="00DC72B1">
            <w:pPr>
              <w:pStyle w:val="RTLTitle"/>
              <w:bidi/>
            </w:pPr>
            <w:r>
              <w:rPr>
                <w:rtl/>
              </w:rPr>
              <w:t>لوح سلمان اول (ادرنه)</w:t>
            </w:r>
          </w:p>
        </w:tc>
      </w:tr>
      <w:tr w:rsidR="00856F92" w:rsidTr="009439C7">
        <w:tc>
          <w:tcPr>
            <w:tcW w:w="458" w:type="dxa"/>
            <w:tcBorders>
              <w:top w:val="nil"/>
              <w:left w:val="nil"/>
              <w:bottom w:val="nil"/>
              <w:right w:val="nil"/>
            </w:tcBorders>
            <w:tcMar>
              <w:top w:w="0" w:type="dxa"/>
              <w:left w:w="0" w:type="dxa"/>
              <w:bottom w:w="0" w:type="dxa"/>
              <w:right w:w="0" w:type="dxa"/>
            </w:tcMar>
          </w:tcPr>
          <w:p w:rsidR="00856F92" w:rsidRDefault="00856F92"/>
        </w:tc>
        <w:tc>
          <w:tcPr>
            <w:tcW w:w="7390" w:type="dxa"/>
            <w:tcBorders>
              <w:top w:val="nil"/>
              <w:left w:val="nil"/>
              <w:bottom w:val="nil"/>
              <w:right w:val="nil"/>
            </w:tcBorders>
            <w:tcMar>
              <w:top w:w="0" w:type="dxa"/>
              <w:left w:w="0" w:type="dxa"/>
              <w:bottom w:w="0" w:type="dxa"/>
              <w:right w:w="0" w:type="dxa"/>
            </w:tcMar>
            <w:vAlign w:val="center"/>
          </w:tcPr>
          <w:p w:rsidR="00856F92" w:rsidRDefault="00DC72B1">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856F92" w:rsidRDefault="00DC72B1">
            <w:pPr>
              <w:pStyle w:val="RTLAuthor"/>
              <w:bidi/>
            </w:pPr>
            <w:proofErr w:type="spellStart"/>
            <w:r>
              <w:t>حضرت</w:t>
            </w:r>
            <w:proofErr w:type="spellEnd"/>
            <w:r>
              <w:t xml:space="preserve"> </w:t>
            </w:r>
            <w:proofErr w:type="spellStart"/>
            <w:r>
              <w:t>بهاءالله</w:t>
            </w:r>
            <w:proofErr w:type="spellEnd"/>
          </w:p>
        </w:tc>
      </w:tr>
      <w:tr w:rsidR="00856F92" w:rsidTr="009439C7">
        <w:tc>
          <w:tcPr>
            <w:tcW w:w="458" w:type="dxa"/>
            <w:tcBorders>
              <w:top w:val="nil"/>
              <w:left w:val="nil"/>
              <w:bottom w:val="nil"/>
              <w:right w:val="nil"/>
            </w:tcBorders>
            <w:tcMar>
              <w:top w:w="0" w:type="dxa"/>
              <w:left w:w="0" w:type="dxa"/>
              <w:bottom w:w="0" w:type="dxa"/>
              <w:right w:w="0" w:type="dxa"/>
            </w:tcMar>
          </w:tcPr>
          <w:p w:rsidR="00856F92" w:rsidRDefault="00856F92"/>
        </w:tc>
        <w:tc>
          <w:tcPr>
            <w:tcW w:w="7390" w:type="dxa"/>
            <w:tcBorders>
              <w:top w:val="nil"/>
              <w:left w:val="nil"/>
              <w:bottom w:val="nil"/>
              <w:right w:val="nil"/>
            </w:tcBorders>
            <w:tcMar>
              <w:top w:w="0" w:type="dxa"/>
              <w:left w:w="0" w:type="dxa"/>
              <w:bottom w:w="0" w:type="dxa"/>
              <w:right w:w="0" w:type="dxa"/>
            </w:tcMar>
            <w:vAlign w:val="center"/>
          </w:tcPr>
          <w:p w:rsidR="00856F92" w:rsidRDefault="00DC72B1">
            <w:pPr>
              <w:pStyle w:val="Description"/>
            </w:pPr>
            <w:r>
              <w:t>Translated. Original Persian</w:t>
            </w:r>
          </w:p>
        </w:tc>
        <w:tc>
          <w:tcPr>
            <w:tcW w:w="7390" w:type="dxa"/>
            <w:tcBorders>
              <w:top w:val="nil"/>
              <w:left w:val="nil"/>
              <w:bottom w:val="nil"/>
              <w:right w:val="nil"/>
            </w:tcBorders>
            <w:tcMar>
              <w:top w:w="0" w:type="dxa"/>
              <w:left w:w="0" w:type="dxa"/>
              <w:bottom w:w="0" w:type="dxa"/>
              <w:right w:w="0" w:type="dxa"/>
            </w:tcMar>
            <w:vAlign w:val="center"/>
          </w:tcPr>
          <w:p w:rsidR="00856F92" w:rsidRDefault="00DC72B1">
            <w:pPr>
              <w:pStyle w:val="RTLDescription"/>
              <w:bidi/>
            </w:pPr>
            <w:proofErr w:type="spellStart"/>
            <w:r>
              <w:t>نسخه</w:t>
            </w:r>
            <w:proofErr w:type="spellEnd"/>
            <w:r>
              <w:t xml:space="preserve"> </w:t>
            </w:r>
            <w:proofErr w:type="spellStart"/>
            <w:r>
              <w:t>اصل</w:t>
            </w:r>
            <w:proofErr w:type="spellEnd"/>
            <w:r>
              <w:t xml:space="preserve"> </w:t>
            </w:r>
            <w:proofErr w:type="spellStart"/>
            <w:r>
              <w:t>فارسی</w:t>
            </w:r>
            <w:proofErr w:type="spellEnd"/>
          </w:p>
        </w:tc>
      </w:tr>
      <w:tr w:rsidR="00856F92" w:rsidTr="009439C7">
        <w:tc>
          <w:tcPr>
            <w:tcW w:w="458" w:type="dxa"/>
            <w:tcBorders>
              <w:top w:val="nil"/>
              <w:left w:val="nil"/>
              <w:bottom w:val="nil"/>
              <w:right w:val="nil"/>
            </w:tcBorders>
            <w:tcMar>
              <w:top w:w="0" w:type="dxa"/>
              <w:left w:w="0" w:type="dxa"/>
              <w:bottom w:w="0" w:type="dxa"/>
              <w:right w:w="0" w:type="dxa"/>
            </w:tcMar>
          </w:tcPr>
          <w:p w:rsidR="00856F92" w:rsidRDefault="00856F92"/>
        </w:tc>
        <w:tc>
          <w:tcPr>
            <w:tcW w:w="7390" w:type="dxa"/>
            <w:tcBorders>
              <w:top w:val="nil"/>
              <w:left w:val="nil"/>
              <w:bottom w:val="nil"/>
              <w:right w:val="nil"/>
            </w:tcBorders>
            <w:tcMar>
              <w:top w:w="0" w:type="dxa"/>
              <w:left w:w="0" w:type="dxa"/>
              <w:bottom w:w="0" w:type="dxa"/>
              <w:right w:w="0" w:type="dxa"/>
            </w:tcMar>
          </w:tcPr>
          <w:p w:rsidR="00856F92" w:rsidRDefault="00DC72B1">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856F92" w:rsidRDefault="00DC72B1">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856F92" w:rsidTr="009439C7">
        <w:tc>
          <w:tcPr>
            <w:tcW w:w="458" w:type="dxa"/>
            <w:tcBorders>
              <w:top w:val="nil"/>
              <w:left w:val="nil"/>
              <w:bottom w:val="single" w:sz="1" w:space="0" w:color="CCCCCC"/>
              <w:right w:val="single" w:sz="1" w:space="0" w:color="CCCCCC"/>
            </w:tcBorders>
            <w:tcMar>
              <w:top w:w="0" w:type="dxa"/>
              <w:bottom w:w="100" w:type="dxa"/>
            </w:tcMar>
          </w:tcPr>
          <w:p w:rsidR="00856F92" w:rsidRDefault="00856F92">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856F92" w:rsidRDefault="00704E7E">
            <w:pPr>
              <w:pStyle w:val="Heading3"/>
            </w:pPr>
            <w:hyperlink w:anchor="lawh-i-salmán_1--gleanings-from-the-writings-of-baháulláh" w:history="1"/>
            <w:r w:rsidR="00DC72B1">
              <w:t xml:space="preserve">Lawh-i-Salmán_1 – Gleanings </w:t>
            </w:r>
            <w:proofErr w:type="gramStart"/>
            <w:r w:rsidR="00DC72B1">
              <w:t>From</w:t>
            </w:r>
            <w:proofErr w:type="gramEnd"/>
            <w:r w:rsidR="00DC72B1">
              <w:t xml:space="preserve"> The Writings of </w:t>
            </w:r>
            <w:proofErr w:type="spellStart"/>
            <w:r w:rsidR="00DC72B1">
              <w:t>Bahá’u’lláh</w:t>
            </w:r>
            <w:proofErr w:type="spellEnd"/>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856F92" w:rsidRDefault="00704E7E">
            <w:pPr>
              <w:pStyle w:val="RTLHeading3Low"/>
              <w:bidi/>
            </w:pPr>
            <w:hyperlink w:anchor="لوح-سلمان-١--حضرت-بهاءالله--مجموعه-الواح-مباركه-چاپ-مصر-صفحه-١٢٨---١٦٠" w:history="1"/>
            <w:r w:rsidR="00DC72B1">
              <w:rPr>
                <w:rtl/>
              </w:rPr>
              <w:t>لوح سلمان (١) – حضرت بهاءالله – مجموعه الواح مباركه، چاپ مصر، صفحه ١٢٨ - ١٦٠</w:t>
            </w:r>
          </w:p>
        </w:tc>
      </w:tr>
      <w:tr w:rsidR="008B730B" w:rsidTr="009439C7">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 Partial Translation *</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8B730B" w:rsidRDefault="008B730B">
            <w:pPr>
              <w:pStyle w:val="RTLHeading2Low"/>
              <w:bidi/>
            </w:pPr>
          </w:p>
        </w:tc>
      </w:tr>
      <w:tr w:rsidR="008B730B" w:rsidTr="00A40964">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 xml:space="preserve">O </w:t>
            </w:r>
            <w:proofErr w:type="spellStart"/>
            <w:r>
              <w:t>Salmán</w:t>
            </w:r>
            <w:proofErr w:type="spellEnd"/>
            <w:r>
              <w:t xml:space="preserve">! The door of the knowledge of the Ancient Being hath ever been, and will continue </w:t>
            </w:r>
            <w:proofErr w:type="spellStart"/>
            <w:r>
              <w:t>for ever</w:t>
            </w:r>
            <w:proofErr w:type="spellEnd"/>
            <w:r>
              <w:t xml:space="preserve">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 His own Self. Whoso </w:t>
            </w:r>
            <w:proofErr w:type="spellStart"/>
            <w:r>
              <w:t>recognizeth</w:t>
            </w:r>
            <w:proofErr w:type="spellEnd"/>
            <w:r>
              <w:t xml:space="preserve"> them hath recognized God. Whoso </w:t>
            </w:r>
            <w:proofErr w:type="spellStart"/>
            <w:r>
              <w:t>hearkeneth</w:t>
            </w:r>
            <w:proofErr w:type="spellEnd"/>
            <w:r>
              <w:t xml:space="preserve"> to their call, hath hearkened to the Voice of God, and whoso </w:t>
            </w:r>
            <w:proofErr w:type="spellStart"/>
            <w:r>
              <w:t>testifieth</w:t>
            </w:r>
            <w:proofErr w:type="spellEnd"/>
            <w:r>
              <w:t xml:space="preserve"> to the truth of their Revelation, hath testified to the truth of God Himself. Whoso </w:t>
            </w:r>
            <w:proofErr w:type="spellStart"/>
            <w:r>
              <w:t>turneth</w:t>
            </w:r>
            <w:proofErr w:type="spellEnd"/>
            <w:r>
              <w:t xml:space="preserve"> away from them, hath turned away from God, and whoso </w:t>
            </w:r>
            <w:proofErr w:type="spellStart"/>
            <w:r>
              <w:t>disbelieveth</w:t>
            </w:r>
            <w:proofErr w:type="spellEnd"/>
            <w:r>
              <w:t xml:space="preserve"> in them, hath disbelieved in God. Every one of them is the Way of God that </w:t>
            </w:r>
            <w:proofErr w:type="spellStart"/>
            <w:r>
              <w:t>connecteth</w:t>
            </w:r>
            <w:proofErr w:type="spellEnd"/>
            <w:r>
              <w:t xml:space="preserve"> this world with the realms above, and the Standard of His Truth unto </w:t>
            </w:r>
            <w:proofErr w:type="spellStart"/>
            <w:r>
              <w:t>every one</w:t>
            </w:r>
            <w:proofErr w:type="spellEnd"/>
            <w:r>
              <w:t xml:space="preserve"> in the kingdoms of earth and heaven. They are the Manifestations of God amidst men, the evidences of His Truth, and the signs of His glory.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Pr="00AD4C71" w:rsidRDefault="008B730B" w:rsidP="00AD4C71">
            <w:pPr>
              <w:pStyle w:val="RTLNormalLow"/>
              <w:bidi/>
              <w:rPr>
                <w:rtl/>
              </w:rPr>
            </w:pPr>
            <w:r w:rsidRPr="00AD4C71">
              <w:rPr>
                <w:rFonts w:cs="Times New Roman"/>
                <w:rtl/>
              </w:rPr>
              <w:t>ای سلمان سبيل کلّ بذات قِدَم مسدود بوده و طريق کلّ مقطوع خواهد بود و محض فضل و عنايت شموس مشرقه از فق احديّه را بين ناس ظاهر فرموده و عرفان اين انفس مقدّسه را عرفان خود قرار فرموده مَنْ عَرَفهم فقد عرف اللّه ومَن سمع کلماتِهم فقد سمع کلماتِ اللّه ومَن أقرّ بهم فقد أقرّ باللّه ومَن أعرض عنهم فقد أعرض عن اللّه ومَن کفر بهم فقد کفر باللّه وهم صراطُ اللّه بين السّموات والأرض وميزانُ اللّه في ملکوت الأمر والخلق وهم ظهورُ اللّه وحُججهُ بين عباده ودلائلهُ بين بريّته</w:t>
            </w:r>
            <w:r w:rsidRPr="00AD4C71">
              <w:t xml:space="preserve"> ...​</w:t>
            </w:r>
          </w:p>
          <w:p w:rsidR="008B730B" w:rsidRPr="00AD4C71" w:rsidRDefault="008B730B" w:rsidP="00AD4C71">
            <w:pPr>
              <w:pStyle w:val="RTLNormalLow"/>
              <w:rPr>
                <w:rtl/>
              </w:rPr>
            </w:pPr>
          </w:p>
          <w:p w:rsidR="008B730B" w:rsidRDefault="008B730B">
            <w:pPr>
              <w:pStyle w:val="RTLHeading2Low"/>
              <w:bidi/>
            </w:pPr>
          </w:p>
        </w:tc>
      </w:tr>
      <w:tr w:rsidR="008B730B" w:rsidTr="009439C7">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 xml:space="preserve">* Gleanings </w:t>
            </w:r>
            <w:proofErr w:type="gramStart"/>
            <w:r>
              <w:t>From</w:t>
            </w:r>
            <w:proofErr w:type="gramEnd"/>
            <w:r>
              <w:t xml:space="preserve"> The Writings of </w:t>
            </w:r>
            <w:proofErr w:type="spellStart"/>
            <w:r>
              <w:t>Bahá’u’lláh</w:t>
            </w:r>
            <w:proofErr w:type="spellEnd"/>
            <w:r>
              <w:t>, pages: 49 - 50 *</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Default="008B730B" w:rsidP="00AD4C71">
            <w:pPr>
              <w:pStyle w:val="RTLNormalLow"/>
              <w:bidi/>
              <w:rPr>
                <w:rtl/>
              </w:rPr>
            </w:pPr>
          </w:p>
        </w:tc>
      </w:tr>
      <w:tr w:rsidR="008B730B" w:rsidTr="00314C01">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Default="008B730B">
            <w:pPr>
              <w:pStyle w:val="RTLNormalLow"/>
              <w:bidi/>
            </w:pPr>
          </w:p>
        </w:tc>
      </w:tr>
      <w:tr w:rsidR="008B730B" w:rsidTr="00314C01">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 xml:space="preserve">O </w:t>
            </w:r>
            <w:proofErr w:type="spellStart"/>
            <w:r>
              <w:t>Salmán</w:t>
            </w:r>
            <w:proofErr w:type="spellEnd"/>
            <w:r>
              <w:t xml:space="preserve">!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w:t>
            </w:r>
            <w:proofErr w:type="spellStart"/>
            <w:r>
              <w:t>pondereth</w:t>
            </w:r>
            <w:proofErr w:type="spellEnd"/>
            <w:r>
              <w:t xml:space="preserve"> this truth in his heart will readily admit that there are certain limits which no human being can possibly transgress. Every attempt which, from the beginning that hath no beginning, hath been made to visualize and know God is limited by the exigencies of His own creation - a creation which He, through the operation of His own Will and for the purposes of none other but His own Self, hath called into being. Immeasurably exalted is He above the strivings of human mind to grasp His Essence, or of human tongue to describe His mystery. No tie of direct intercourse can ever bind Him to the things He hath created, nor can the most abstruse and most remote allusions of His creatures do justice to His being. Through His world-pervading Will He hath brought into being all created things. He is and hath ever been veiled in the ancient eternity of His own exalted and indivisible Essence, and will everlastingly continue to remain concealed in His inaccessible majesty and glory. All that is in heaven and all that is in the earth have come to exist at His bidding, and by His Will all have stepped out of utter nothingness into the realm of being. How can, therefore, the creature which the Word of God hath fashioned comprehend the nature of Him Who is the Ancient of Days?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Pr="000E0CAD" w:rsidRDefault="008B730B" w:rsidP="0023314D">
            <w:pPr>
              <w:pStyle w:val="RTLNormalLow"/>
              <w:bidi/>
              <w:rPr>
                <w:rtl/>
              </w:rPr>
            </w:pPr>
            <w:r w:rsidRPr="000E0CAD">
              <w:rPr>
                <w:rFonts w:cs="Times New Roman"/>
                <w:rtl/>
              </w:rPr>
              <w:t>ای سلمان آنچه عرفا ذکر نموده‌اند جمیع در رتبهٴ خلق بوده و خواهد بود چه که نفوس عالیه و افئدهٴ مجرّده هر قدر در سماء علم و عرفان طیران نمایند از رتبهٴ ممکن و ما خلق فی انفسهم بأنفسهم تجاوز نتوانند نمود کلّ العرفان من کلّ عارف و کلّ الأذکار من کلّ ذاکر و کلّ الأوصاف من کلّ واصف ینتهی الی ما خلق فی نفسه من تجلّی ربّه و هر نفسی فی‌الجمله تفکّر نماید خود تصدیق مینماید باینکه از برای خلق تجاوز از حدّ خود ممکن نه و کلّ امثله و عرفان از اوّل لا اوّل بخلق او که از مشیّت امکانیّه بنفسه لنفسه لا من شیء خلق شده راجع فسبحان الله من ان یعرف بعرفان احد او ان یرجع الیه امثال نفس لم یکن بینه و بین خلقه لا من نسبة و لا من ربط و لا من جهة و اشارة و دلالة و قد خلق الممکنات بمشیّته الّتی احاطت العالمین حقّ لم‌یزل در علوّ سلطان ارتفاع وحدت خود مقدّس از عرفان ممکنات بوده و لایزال بسموّ امتناع ملیک رفعت خود منزّه از ادراک موجودات خواهد بود جمیع من فی الأرض و السّمآء بکلمهٴ او خلق شده‌اند و از عدم بحت بعرصهٴ وجود آمده‌اند چگونه میشود مخلوقی که از کلمه خلق شده بذات قدم ارتقا نماید</w:t>
            </w:r>
            <w:r w:rsidRPr="000E0CAD">
              <w:t>...​</w:t>
            </w:r>
          </w:p>
          <w:p w:rsidR="008B730B" w:rsidRPr="000E0CAD" w:rsidRDefault="008B730B" w:rsidP="0023314D">
            <w:pPr>
              <w:pStyle w:val="RTLNormalLow"/>
              <w:bidi/>
              <w:rPr>
                <w:rtl/>
              </w:rPr>
            </w:pPr>
          </w:p>
          <w:p w:rsidR="008B730B" w:rsidRDefault="008B730B">
            <w:pPr>
              <w:pStyle w:val="RTLNormalLow"/>
              <w:bidi/>
            </w:pPr>
          </w:p>
        </w:tc>
      </w:tr>
      <w:tr w:rsidR="008B730B" w:rsidTr="00314C01">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 xml:space="preserve">* Gleanings </w:t>
            </w:r>
            <w:proofErr w:type="gramStart"/>
            <w:r>
              <w:t>From</w:t>
            </w:r>
            <w:proofErr w:type="gramEnd"/>
            <w:r>
              <w:t xml:space="preserve"> The Writings of </w:t>
            </w:r>
            <w:proofErr w:type="spellStart"/>
            <w:r>
              <w:t>Bahá’u’lláh</w:t>
            </w:r>
            <w:proofErr w:type="spellEnd"/>
            <w:r>
              <w:t>, pages: 317 - 18 *</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Default="008B730B" w:rsidP="0023314D">
            <w:pPr>
              <w:pStyle w:val="RTLNormalLow"/>
              <w:bidi/>
            </w:pPr>
          </w:p>
        </w:tc>
      </w:tr>
      <w:tr w:rsidR="008B730B" w:rsidTr="00314C01">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Default="008B730B">
            <w:pPr>
              <w:pStyle w:val="RTLNormalLow"/>
              <w:bidi/>
            </w:pPr>
          </w:p>
        </w:tc>
      </w:tr>
      <w:tr w:rsidR="008B730B" w:rsidTr="00314C01">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 xml:space="preserve">Warn, O </w:t>
            </w:r>
            <w:proofErr w:type="spellStart"/>
            <w:r>
              <w:t>Salmán</w:t>
            </w:r>
            <w:proofErr w:type="spellEnd"/>
            <w:r>
              <w:t xml:space="preserve">,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w:t>
            </w:r>
            <w:proofErr w:type="gramStart"/>
            <w:r>
              <w:t>Thus</w:t>
            </w:r>
            <w:proofErr w:type="gramEnd"/>
            <w:r>
              <w:t xml:space="preserve"> hath it been decreed by Him Who is the All-Powerful, the Almighty. He that </w:t>
            </w:r>
            <w:proofErr w:type="spellStart"/>
            <w:r>
              <w:t>wisheth</w:t>
            </w:r>
            <w:proofErr w:type="spellEnd"/>
            <w:r>
              <w:t xml:space="preserve"> to promote the Cause of the one true God, let him promote it through his pen and tongue, rather than have recourse to sword or violence. We have, on a previous occasion, revealed this injunction, and We now confirm it, if ye be of them that comprehend. By the righteousness of Him Who, in this Day, </w:t>
            </w:r>
            <w:proofErr w:type="spellStart"/>
            <w:r>
              <w:t>crieth</w:t>
            </w:r>
            <w:proofErr w:type="spellEnd"/>
            <w:r>
              <w:t xml:space="preserve">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w:t>
            </w:r>
            <w:proofErr w:type="spellStart"/>
            <w:r>
              <w:t>standeth</w:t>
            </w:r>
            <w:proofErr w:type="spellEnd"/>
            <w:r>
              <w:t xml:space="preserve"> firm and steadfast in this holy, this glorious, and exalted Revelation, such power shall be given him as to enable him to face and withstand all that is in heaven and on earth. Of this God is Himself a witness.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Pr="00996BA1" w:rsidRDefault="008B730B" w:rsidP="00996BA1">
            <w:pPr>
              <w:pStyle w:val="RTLNormalLow"/>
              <w:bidi/>
              <w:rPr>
                <w:rtl/>
              </w:rPr>
            </w:pPr>
            <w:r w:rsidRPr="00996BA1">
              <w:rPr>
                <w:rFonts w:cs="Times New Roman"/>
                <w:rtl/>
              </w:rPr>
              <w:t>ای سلمان بر احبّای حقّ القا کن که در کلمات احدی بدیدهٴ اعتراض ملاحظه منمائید بلکه بدیدهٴ شفقت و مرحمت مشاهده کنید مگر آن نفوسی که الیوم در ردّ الله الواح ناریّه نوشته بر جمیع نفوس حتم است که بر ردّ من ردّ علی الله آنچه قادر باشند بنویسند کذلک قدّر من لدن مقتدر قدیر چه که الیوم نصرت حقّ بذکر و بیان است نه بسیف و امثال آن کذلک نزّلنا من قبل و حینئذ ان انتم تعرفون فوالّذی ینطق حینئذ فی کلّ شیء بأنّه لا اله الّا هو که اگر نفسی در ردّ من ردّ علی الله کلمه‌ئی مرقوم دارد مقامی باو عنایت شود که جمیع اهل ملأ اعلی حسرت آن مقام برند و جمیع اقلام ممکنات از ذکر آن مقام عاجز و السن کائنات از وصفش قاصر چه که هر نفسی الیوم بر این امر اقدس ارفع امنع مستقیم شود مقابل است با کلّ من فی السّموات و الأرض و کان الله علی ذلک لشهید و علیم</w:t>
            </w:r>
          </w:p>
          <w:p w:rsidR="008B730B" w:rsidRPr="00996BA1" w:rsidRDefault="008B730B" w:rsidP="00996BA1">
            <w:pPr>
              <w:pStyle w:val="RTLNormalLow"/>
              <w:bidi/>
              <w:rPr>
                <w:rtl/>
              </w:rPr>
            </w:pPr>
          </w:p>
          <w:p w:rsidR="008B730B" w:rsidRDefault="008B730B">
            <w:pPr>
              <w:pStyle w:val="RTLNormalLow"/>
              <w:bidi/>
            </w:pPr>
          </w:p>
        </w:tc>
      </w:tr>
      <w:tr w:rsidR="008B730B" w:rsidTr="00314C01">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Pr="00996BA1" w:rsidRDefault="008B730B" w:rsidP="00996BA1">
            <w:pPr>
              <w:pStyle w:val="RTLNormalLow"/>
              <w:bidi/>
              <w:rPr>
                <w:rtl/>
              </w:rPr>
            </w:pPr>
            <w:r w:rsidRPr="00996BA1">
              <w:rPr>
                <w:rFonts w:cs="Times New Roman"/>
                <w:rtl/>
              </w:rPr>
              <w:t>ان یا احبّآء الله لا تستقرّوا علی فراش الرّاحة و اذا عرفتم بارئکم و سمعتم ما ورد علیه قوموا علی النّصر ثمّ انطقوا و لا تصمتوا اقلّ من آن و انّ هذا خیر لکم عن کنوز ما کان و ما یکون لو انتم من العارفین</w:t>
            </w:r>
            <w:r w:rsidRPr="00996BA1">
              <w:t>...​</w:t>
            </w:r>
          </w:p>
          <w:p w:rsidR="008B730B" w:rsidRDefault="008B730B" w:rsidP="00996BA1">
            <w:pPr>
              <w:pStyle w:val="RTLNormalLow"/>
              <w:bidi/>
            </w:pPr>
          </w:p>
        </w:tc>
      </w:tr>
      <w:tr w:rsidR="008B730B" w:rsidTr="00314C01">
        <w:tc>
          <w:tcPr>
            <w:tcW w:w="458" w:type="dxa"/>
            <w:tcBorders>
              <w:top w:val="single" w:sz="1" w:space="0" w:color="CCCCCC"/>
              <w:left w:val="nil"/>
              <w:bottom w:val="single" w:sz="1" w:space="0" w:color="CCCCCC"/>
              <w:right w:val="single" w:sz="1" w:space="0" w:color="CCCCCC"/>
            </w:tcBorders>
            <w:tcMar>
              <w:top w:w="100" w:type="dxa"/>
              <w:bottom w:w="100" w:type="dxa"/>
            </w:tcMar>
          </w:tcPr>
          <w:p w:rsidR="008B730B" w:rsidRDefault="008B730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8B730B" w:rsidRDefault="008B730B">
            <w:pPr>
              <w:bidi w:val="0"/>
            </w:pPr>
            <w:r>
              <w:t xml:space="preserve">* Gleanings </w:t>
            </w:r>
            <w:proofErr w:type="gramStart"/>
            <w:r>
              <w:t>From</w:t>
            </w:r>
            <w:proofErr w:type="gramEnd"/>
            <w:r>
              <w:t xml:space="preserve"> The Writings of </w:t>
            </w:r>
            <w:proofErr w:type="spellStart"/>
            <w:r>
              <w:t>Bahá’u’lláh</w:t>
            </w:r>
            <w:proofErr w:type="spellEnd"/>
            <w:r>
              <w:t>, pages: 329 - 30 *</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8B730B" w:rsidRDefault="008B730B">
            <w:pPr>
              <w:pStyle w:val="RTLNormalLow"/>
              <w:bidi/>
            </w:pPr>
          </w:p>
        </w:tc>
      </w:tr>
    </w:tbl>
    <w:p w:rsidR="00856F92" w:rsidRDefault="008B730B">
      <w:r>
        <w:tab/>
      </w:r>
      <w:r>
        <w:tab/>
      </w:r>
      <w:r>
        <w:tab/>
      </w:r>
      <w:r>
        <w:tab/>
      </w:r>
      <w:r>
        <w:tab/>
      </w:r>
      <w:r>
        <w:tab/>
      </w:r>
      <w:r>
        <w:tab/>
      </w:r>
      <w:r>
        <w:tab/>
      </w:r>
      <w:r>
        <w:tab/>
      </w:r>
      <w:r>
        <w:tab/>
      </w:r>
      <w:r>
        <w:rPr>
          <w:noProof/>
        </w:rPr>
        <w:drawing>
          <wp:inline distT="0" distB="0" distL="0" distR="0" wp14:anchorId="4F977B16" wp14:editId="0159E34C">
            <wp:extent cx="1371600"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bookmarkStart w:id="0" w:name="_GoBack"/>
      <w:bookmarkEnd w:id="0"/>
    </w:p>
    <w:sectPr w:rsidR="00856F92">
      <w:headerReference w:type="default" r:id="rId8"/>
      <w:footerReference w:type="default" r:id="rId9"/>
      <w:headerReference w:type="first" r:id="rId10"/>
      <w:footerReference w:type="first" r:id="rId11"/>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E7E" w:rsidRDefault="00704E7E">
      <w:pPr>
        <w:spacing w:line="240" w:lineRule="auto"/>
      </w:pPr>
      <w:r>
        <w:separator/>
      </w:r>
    </w:p>
  </w:endnote>
  <w:endnote w:type="continuationSeparator" w:id="0">
    <w:p w:rsidR="00704E7E" w:rsidRDefault="00704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Am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92" w:rsidRDefault="00DC72B1">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fldChar w:fldCharType="separate"/>
    </w:r>
    <w:r w:rsidR="009439C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92" w:rsidRDefault="00DC72B1">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11"/>
      <w:gridCol w:w="1479"/>
    </w:tblGrid>
    <w:tr w:rsidR="00856F92">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68"/>
            <w:gridCol w:w="1469"/>
            <w:gridCol w:w="4563"/>
          </w:tblGrid>
          <w:tr w:rsidR="00856F92">
            <w:tc>
              <w:tcPr>
                <w:tcW w:w="1400" w:type="dxa"/>
                <w:tcBorders>
                  <w:top w:val="nil"/>
                  <w:left w:val="nil"/>
                  <w:bottom w:val="nil"/>
                  <w:right w:val="nil"/>
                </w:tcBorders>
                <w:tcMar>
                  <w:top w:w="0" w:type="dxa"/>
                  <w:left w:w="350" w:type="dxa"/>
                  <w:bottom w:w="60" w:type="dxa"/>
                  <w:right w:w="350" w:type="dxa"/>
                </w:tcMar>
              </w:tcPr>
              <w:p w:rsidR="00856F92" w:rsidRDefault="00704E7E">
                <w:pPr>
                  <w:pStyle w:val="QrCode"/>
                </w:pPr>
                <w:hyperlink r:id="rId2" w:history="1">
                  <w:r w:rsidR="00DC72B1">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856F92" w:rsidRDefault="00704E7E">
                <w:pPr>
                  <w:pStyle w:val="QrCode"/>
                </w:pPr>
                <w:hyperlink r:id="rId4" w:history="1">
                  <w:r w:rsidR="00DC72B1">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856F92" w:rsidRDefault="00704E7E">
                <w:pPr>
                  <w:pStyle w:val="SiteLink"/>
                </w:pPr>
                <w:hyperlink r:id="rId6" w:history="1">
                  <w:r w:rsidR="00DC72B1">
                    <w:rPr>
                      <w:rStyle w:val="Hyperlink"/>
                    </w:rPr>
                    <w:t>oceanoflights.org</w:t>
                  </w:r>
                </w:hyperlink>
              </w:p>
            </w:tc>
          </w:tr>
          <w:tr w:rsidR="00856F92">
            <w:tc>
              <w:tcPr>
                <w:tcW w:w="1400" w:type="dxa"/>
                <w:tcBorders>
                  <w:top w:val="nil"/>
                  <w:left w:val="nil"/>
                  <w:bottom w:val="nil"/>
                  <w:right w:val="nil"/>
                </w:tcBorders>
                <w:tcMar>
                  <w:top w:w="0" w:type="dxa"/>
                  <w:left w:w="0" w:type="dxa"/>
                  <w:bottom w:w="0" w:type="dxa"/>
                  <w:right w:w="0" w:type="dxa"/>
                </w:tcMar>
              </w:tcPr>
              <w:p w:rsidR="00856F92" w:rsidRDefault="00DC72B1">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856F92" w:rsidRDefault="00DC72B1">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856F92" w:rsidRDefault="00856F92">
                <w:pPr>
                  <w:pStyle w:val="Invisible"/>
                </w:pPr>
              </w:p>
            </w:tc>
          </w:tr>
        </w:tbl>
        <w:p w:rsidR="00856F92" w:rsidRDefault="00856F92">
          <w:pPr>
            <w:pStyle w:val="Invisible"/>
          </w:pPr>
        </w:p>
      </w:tc>
      <w:tc>
        <w:tcPr>
          <w:tcW w:w="1523" w:type="dxa"/>
          <w:tcBorders>
            <w:top w:val="nil"/>
            <w:left w:val="nil"/>
            <w:bottom w:val="nil"/>
            <w:right w:val="nil"/>
          </w:tcBorders>
          <w:tcMar>
            <w:top w:w="0" w:type="dxa"/>
            <w:left w:w="0" w:type="dxa"/>
            <w:bottom w:w="0" w:type="dxa"/>
            <w:right w:w="0" w:type="dxa"/>
          </w:tcMar>
          <w:vAlign w:val="center"/>
        </w:tcPr>
        <w:p w:rsidR="00856F92" w:rsidRDefault="00DC72B1">
          <w:pPr>
            <w:pStyle w:val="Footer"/>
          </w:pPr>
          <w:r>
            <w:fldChar w:fldCharType="begin"/>
          </w:r>
          <w:r>
            <w:instrText>PAGE</w:instrText>
          </w:r>
          <w:r>
            <w:fldChar w:fldCharType="separate"/>
          </w:r>
          <w:r w:rsidR="009439C7">
            <w:rPr>
              <w:noProof/>
            </w:rPr>
            <w:t>1</w:t>
          </w:r>
          <w:r>
            <w:fldChar w:fldCharType="end"/>
          </w:r>
        </w:p>
      </w:tc>
    </w:tr>
  </w:tbl>
  <w:p w:rsidR="00856F92" w:rsidRDefault="00856F92">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E7E" w:rsidRDefault="00704E7E">
      <w:pPr>
        <w:spacing w:line="240" w:lineRule="auto"/>
      </w:pPr>
      <w:r>
        <w:separator/>
      </w:r>
    </w:p>
  </w:footnote>
  <w:footnote w:type="continuationSeparator" w:id="0">
    <w:p w:rsidR="00704E7E" w:rsidRDefault="00704E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92" w:rsidRDefault="00DC72B1">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92" w:rsidRDefault="00DC72B1">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D6BE7"/>
    <w:multiLevelType w:val="hybridMultilevel"/>
    <w:tmpl w:val="79E00176"/>
    <w:lvl w:ilvl="0" w:tplc="5E1EFCD2">
      <w:start w:val="1"/>
      <w:numFmt w:val="decimal"/>
      <w:lvlText w:val="%1."/>
      <w:lvlJc w:val="left"/>
      <w:pPr>
        <w:ind w:left="566" w:hanging="425"/>
      </w:pPr>
      <w:rPr>
        <w:rFonts w:ascii="Montserrat" w:eastAsia="Montserrat" w:hAnsi="Montserrat" w:cs="Montserrat"/>
        <w:color w:val="2D9CDB"/>
        <w:spacing w:val="-3"/>
        <w:sz w:val="20"/>
        <w:szCs w:val="20"/>
      </w:rPr>
    </w:lvl>
    <w:lvl w:ilvl="1" w:tplc="BE04514C">
      <w:start w:val="1"/>
      <w:numFmt w:val="decimal"/>
      <w:lvlText w:val="%2."/>
      <w:lvlJc w:val="left"/>
      <w:pPr>
        <w:ind w:left="1133" w:hanging="425"/>
      </w:pPr>
      <w:rPr>
        <w:rFonts w:ascii="Montserrat" w:eastAsia="Montserrat" w:hAnsi="Montserrat" w:cs="Montserrat"/>
        <w:color w:val="2D9CDB"/>
        <w:spacing w:val="-3"/>
        <w:sz w:val="20"/>
        <w:szCs w:val="20"/>
      </w:rPr>
    </w:lvl>
    <w:lvl w:ilvl="2" w:tplc="4F6A1388">
      <w:start w:val="1"/>
      <w:numFmt w:val="decimal"/>
      <w:lvlText w:val="%3."/>
      <w:lvlJc w:val="left"/>
      <w:pPr>
        <w:ind w:left="1700" w:hanging="425"/>
      </w:pPr>
      <w:rPr>
        <w:rFonts w:ascii="Montserrat" w:eastAsia="Montserrat" w:hAnsi="Montserrat" w:cs="Montserrat"/>
        <w:color w:val="2D9CDB"/>
        <w:spacing w:val="-3"/>
        <w:sz w:val="20"/>
        <w:szCs w:val="20"/>
      </w:rPr>
    </w:lvl>
    <w:lvl w:ilvl="3" w:tplc="A5703A86">
      <w:start w:val="1"/>
      <w:numFmt w:val="decimal"/>
      <w:lvlText w:val="%4."/>
      <w:lvlJc w:val="left"/>
      <w:pPr>
        <w:ind w:left="2267" w:hanging="425"/>
      </w:pPr>
      <w:rPr>
        <w:rFonts w:ascii="Montserrat" w:eastAsia="Montserrat" w:hAnsi="Montserrat" w:cs="Montserrat"/>
        <w:color w:val="2D9CDB"/>
        <w:spacing w:val="-3"/>
        <w:sz w:val="20"/>
        <w:szCs w:val="20"/>
      </w:rPr>
    </w:lvl>
    <w:lvl w:ilvl="4" w:tplc="90546FA0">
      <w:start w:val="1"/>
      <w:numFmt w:val="decimal"/>
      <w:lvlText w:val="%5."/>
      <w:lvlJc w:val="left"/>
      <w:pPr>
        <w:ind w:left="2834" w:hanging="425"/>
      </w:pPr>
      <w:rPr>
        <w:rFonts w:ascii="Montserrat" w:eastAsia="Montserrat" w:hAnsi="Montserrat" w:cs="Montserrat"/>
        <w:color w:val="2D9CDB"/>
        <w:spacing w:val="-3"/>
        <w:sz w:val="20"/>
        <w:szCs w:val="20"/>
      </w:rPr>
    </w:lvl>
    <w:lvl w:ilvl="5" w:tplc="BD060772">
      <w:start w:val="1"/>
      <w:numFmt w:val="decimal"/>
      <w:lvlText w:val="%6."/>
      <w:lvlJc w:val="left"/>
      <w:pPr>
        <w:ind w:left="3401" w:hanging="425"/>
      </w:pPr>
      <w:rPr>
        <w:rFonts w:ascii="Montserrat" w:eastAsia="Montserrat" w:hAnsi="Montserrat" w:cs="Montserrat"/>
        <w:color w:val="2D9CDB"/>
        <w:spacing w:val="-3"/>
        <w:sz w:val="20"/>
        <w:szCs w:val="20"/>
      </w:rPr>
    </w:lvl>
    <w:lvl w:ilvl="6" w:tplc="DD1E4B7A">
      <w:numFmt w:val="decimal"/>
      <w:lvlText w:val=""/>
      <w:lvlJc w:val="left"/>
    </w:lvl>
    <w:lvl w:ilvl="7" w:tplc="0C5A533A">
      <w:numFmt w:val="decimal"/>
      <w:lvlText w:val=""/>
      <w:lvlJc w:val="left"/>
    </w:lvl>
    <w:lvl w:ilvl="8" w:tplc="3BA6A99A">
      <w:numFmt w:val="decimal"/>
      <w:lvlText w:val=""/>
      <w:lvlJc w:val="left"/>
    </w:lvl>
  </w:abstractNum>
  <w:abstractNum w:abstractNumId="1" w15:restartNumberingAfterBreak="0">
    <w:nsid w:val="55770761"/>
    <w:multiLevelType w:val="hybridMultilevel"/>
    <w:tmpl w:val="A21C880C"/>
    <w:lvl w:ilvl="0" w:tplc="A70AC176">
      <w:start w:val="1"/>
      <w:numFmt w:val="bullet"/>
      <w:lvlText w:val="●"/>
      <w:lvlJc w:val="left"/>
      <w:pPr>
        <w:ind w:left="566" w:hanging="425"/>
      </w:pPr>
      <w:rPr>
        <w:rFonts w:ascii="Montserrat" w:eastAsia="Montserrat" w:hAnsi="Montserrat" w:cs="Montserrat"/>
        <w:color w:val="484B4F"/>
        <w:spacing w:val="-3"/>
        <w:sz w:val="20"/>
        <w:szCs w:val="20"/>
      </w:rPr>
    </w:lvl>
    <w:lvl w:ilvl="1" w:tplc="53FEAE2A">
      <w:start w:val="1"/>
      <w:numFmt w:val="bullet"/>
      <w:lvlText w:val="○"/>
      <w:lvlJc w:val="left"/>
      <w:pPr>
        <w:ind w:left="1133" w:hanging="425"/>
      </w:pPr>
      <w:rPr>
        <w:rFonts w:ascii="Montserrat" w:eastAsia="Montserrat" w:hAnsi="Montserrat" w:cs="Montserrat"/>
        <w:color w:val="484B4F"/>
        <w:spacing w:val="-3"/>
        <w:sz w:val="20"/>
        <w:szCs w:val="20"/>
      </w:rPr>
    </w:lvl>
    <w:lvl w:ilvl="2" w:tplc="38487798">
      <w:start w:val="1"/>
      <w:numFmt w:val="bullet"/>
      <w:lvlText w:val="●"/>
      <w:lvlJc w:val="left"/>
      <w:pPr>
        <w:ind w:left="1700" w:hanging="425"/>
      </w:pPr>
      <w:rPr>
        <w:rFonts w:ascii="Montserrat" w:eastAsia="Montserrat" w:hAnsi="Montserrat" w:cs="Montserrat"/>
        <w:color w:val="484B4F"/>
        <w:spacing w:val="-3"/>
        <w:sz w:val="20"/>
        <w:szCs w:val="20"/>
      </w:rPr>
    </w:lvl>
    <w:lvl w:ilvl="3" w:tplc="8794BAA2">
      <w:start w:val="1"/>
      <w:numFmt w:val="bullet"/>
      <w:lvlText w:val="○"/>
      <w:lvlJc w:val="left"/>
      <w:pPr>
        <w:ind w:left="2267" w:hanging="425"/>
      </w:pPr>
      <w:rPr>
        <w:rFonts w:ascii="Montserrat" w:eastAsia="Montserrat" w:hAnsi="Montserrat" w:cs="Montserrat"/>
        <w:color w:val="484B4F"/>
        <w:spacing w:val="-3"/>
        <w:sz w:val="20"/>
        <w:szCs w:val="20"/>
      </w:rPr>
    </w:lvl>
    <w:lvl w:ilvl="4" w:tplc="56C0939E">
      <w:start w:val="1"/>
      <w:numFmt w:val="bullet"/>
      <w:lvlText w:val="●"/>
      <w:lvlJc w:val="left"/>
      <w:pPr>
        <w:ind w:left="2834" w:hanging="425"/>
      </w:pPr>
      <w:rPr>
        <w:rFonts w:ascii="Montserrat" w:eastAsia="Montserrat" w:hAnsi="Montserrat" w:cs="Montserrat"/>
        <w:color w:val="484B4F"/>
        <w:spacing w:val="-3"/>
        <w:sz w:val="20"/>
        <w:szCs w:val="20"/>
      </w:rPr>
    </w:lvl>
    <w:lvl w:ilvl="5" w:tplc="7FEE6B1A">
      <w:start w:val="1"/>
      <w:numFmt w:val="bullet"/>
      <w:lvlText w:val="○"/>
      <w:lvlJc w:val="left"/>
      <w:pPr>
        <w:ind w:left="3401" w:hanging="425"/>
      </w:pPr>
      <w:rPr>
        <w:rFonts w:ascii="Montserrat" w:eastAsia="Montserrat" w:hAnsi="Montserrat" w:cs="Montserrat"/>
        <w:color w:val="484B4F"/>
        <w:spacing w:val="-3"/>
        <w:sz w:val="20"/>
        <w:szCs w:val="20"/>
      </w:rPr>
    </w:lvl>
    <w:lvl w:ilvl="6" w:tplc="438E0CA8">
      <w:numFmt w:val="decimal"/>
      <w:lvlText w:val=""/>
      <w:lvlJc w:val="left"/>
    </w:lvl>
    <w:lvl w:ilvl="7" w:tplc="DFEE2DF2">
      <w:numFmt w:val="decimal"/>
      <w:lvlText w:val=""/>
      <w:lvlJc w:val="left"/>
    </w:lvl>
    <w:lvl w:ilvl="8" w:tplc="F66402C8">
      <w:numFmt w:val="decimal"/>
      <w:lvlText w:val=""/>
      <w:lvlJc w:val="left"/>
    </w:lvl>
  </w:abstractNum>
  <w:abstractNum w:abstractNumId="2" w15:restartNumberingAfterBreak="0">
    <w:nsid w:val="756F7261"/>
    <w:multiLevelType w:val="hybridMultilevel"/>
    <w:tmpl w:val="6F32506C"/>
    <w:lvl w:ilvl="0" w:tplc="C72EDCD6">
      <w:start w:val="1"/>
      <w:numFmt w:val="decimal"/>
      <w:lvlText w:val="%1."/>
      <w:lvlJc w:val="left"/>
      <w:pPr>
        <w:ind w:left="566" w:hanging="425"/>
      </w:pPr>
      <w:rPr>
        <w:rFonts w:ascii="Amiri" w:eastAsia="Amiri" w:hAnsi="Amiri" w:cs="Amiri"/>
        <w:color w:val="2D9CDB"/>
        <w:spacing w:val="0"/>
        <w:sz w:val="24"/>
        <w:szCs w:val="24"/>
      </w:rPr>
    </w:lvl>
    <w:lvl w:ilvl="1" w:tplc="831E9BD8">
      <w:start w:val="1"/>
      <w:numFmt w:val="decimal"/>
      <w:lvlText w:val="%2."/>
      <w:lvlJc w:val="left"/>
      <w:pPr>
        <w:ind w:left="1133" w:hanging="425"/>
      </w:pPr>
      <w:rPr>
        <w:rFonts w:ascii="Amiri" w:eastAsia="Amiri" w:hAnsi="Amiri" w:cs="Amiri"/>
        <w:color w:val="2D9CDB"/>
        <w:spacing w:val="0"/>
        <w:sz w:val="24"/>
        <w:szCs w:val="24"/>
      </w:rPr>
    </w:lvl>
    <w:lvl w:ilvl="2" w:tplc="57F6ED8E">
      <w:start w:val="1"/>
      <w:numFmt w:val="decimal"/>
      <w:lvlText w:val="%3."/>
      <w:lvlJc w:val="left"/>
      <w:pPr>
        <w:ind w:left="1700" w:hanging="425"/>
      </w:pPr>
      <w:rPr>
        <w:rFonts w:ascii="Amiri" w:eastAsia="Amiri" w:hAnsi="Amiri" w:cs="Amiri"/>
        <w:color w:val="2D9CDB"/>
        <w:spacing w:val="0"/>
        <w:sz w:val="24"/>
        <w:szCs w:val="24"/>
      </w:rPr>
    </w:lvl>
    <w:lvl w:ilvl="3" w:tplc="0530828E">
      <w:start w:val="1"/>
      <w:numFmt w:val="decimal"/>
      <w:lvlText w:val="%4."/>
      <w:lvlJc w:val="left"/>
      <w:pPr>
        <w:ind w:left="2267" w:hanging="425"/>
      </w:pPr>
      <w:rPr>
        <w:rFonts w:ascii="Amiri" w:eastAsia="Amiri" w:hAnsi="Amiri" w:cs="Amiri"/>
        <w:color w:val="2D9CDB"/>
        <w:spacing w:val="0"/>
        <w:sz w:val="24"/>
        <w:szCs w:val="24"/>
      </w:rPr>
    </w:lvl>
    <w:lvl w:ilvl="4" w:tplc="1EE0BDBC">
      <w:start w:val="1"/>
      <w:numFmt w:val="decimal"/>
      <w:lvlText w:val="%5."/>
      <w:lvlJc w:val="left"/>
      <w:pPr>
        <w:ind w:left="2834" w:hanging="425"/>
      </w:pPr>
      <w:rPr>
        <w:rFonts w:ascii="Amiri" w:eastAsia="Amiri" w:hAnsi="Amiri" w:cs="Amiri"/>
        <w:color w:val="2D9CDB"/>
        <w:spacing w:val="0"/>
        <w:sz w:val="24"/>
        <w:szCs w:val="24"/>
      </w:rPr>
    </w:lvl>
    <w:lvl w:ilvl="5" w:tplc="59544342">
      <w:start w:val="1"/>
      <w:numFmt w:val="decimal"/>
      <w:lvlText w:val="%6."/>
      <w:lvlJc w:val="left"/>
      <w:pPr>
        <w:ind w:left="3401" w:hanging="425"/>
      </w:pPr>
      <w:rPr>
        <w:rFonts w:ascii="Amiri" w:eastAsia="Amiri" w:hAnsi="Amiri" w:cs="Amiri"/>
        <w:color w:val="2D9CDB"/>
        <w:spacing w:val="0"/>
        <w:sz w:val="24"/>
        <w:szCs w:val="24"/>
      </w:rPr>
    </w:lvl>
    <w:lvl w:ilvl="6" w:tplc="9B7C4BDC">
      <w:numFmt w:val="decimal"/>
      <w:lvlText w:val=""/>
      <w:lvlJc w:val="left"/>
    </w:lvl>
    <w:lvl w:ilvl="7" w:tplc="BCF46D62">
      <w:numFmt w:val="decimal"/>
      <w:lvlText w:val=""/>
      <w:lvlJc w:val="left"/>
    </w:lvl>
    <w:lvl w:ilvl="8" w:tplc="C4F22D5C">
      <w:numFmt w:val="decimal"/>
      <w:lvlText w:val=""/>
      <w:lvlJc w:val="left"/>
    </w:lvl>
  </w:abstractNum>
  <w:abstractNum w:abstractNumId="3" w15:restartNumberingAfterBreak="0">
    <w:nsid w:val="7D707C66"/>
    <w:multiLevelType w:val="hybridMultilevel"/>
    <w:tmpl w:val="4FE6BF26"/>
    <w:lvl w:ilvl="0" w:tplc="A3C64EC2">
      <w:start w:val="1"/>
      <w:numFmt w:val="bullet"/>
      <w:lvlText w:val="●"/>
      <w:lvlJc w:val="left"/>
      <w:pPr>
        <w:ind w:left="720" w:hanging="360"/>
      </w:pPr>
    </w:lvl>
    <w:lvl w:ilvl="1" w:tplc="DE70052E">
      <w:start w:val="1"/>
      <w:numFmt w:val="bullet"/>
      <w:lvlText w:val="○"/>
      <w:lvlJc w:val="left"/>
      <w:pPr>
        <w:ind w:left="1440" w:hanging="360"/>
      </w:pPr>
    </w:lvl>
    <w:lvl w:ilvl="2" w:tplc="14C2CEB0">
      <w:start w:val="1"/>
      <w:numFmt w:val="bullet"/>
      <w:lvlText w:val="■"/>
      <w:lvlJc w:val="left"/>
      <w:pPr>
        <w:ind w:left="2160" w:hanging="360"/>
      </w:pPr>
    </w:lvl>
    <w:lvl w:ilvl="3" w:tplc="C6E24824">
      <w:start w:val="1"/>
      <w:numFmt w:val="bullet"/>
      <w:lvlText w:val="●"/>
      <w:lvlJc w:val="left"/>
      <w:pPr>
        <w:ind w:left="2880" w:hanging="360"/>
      </w:pPr>
    </w:lvl>
    <w:lvl w:ilvl="4" w:tplc="1DD25AF8">
      <w:start w:val="1"/>
      <w:numFmt w:val="bullet"/>
      <w:lvlText w:val="○"/>
      <w:lvlJc w:val="left"/>
      <w:pPr>
        <w:ind w:left="3600" w:hanging="360"/>
      </w:pPr>
    </w:lvl>
    <w:lvl w:ilvl="5" w:tplc="33F0D496">
      <w:start w:val="1"/>
      <w:numFmt w:val="bullet"/>
      <w:lvlText w:val="■"/>
      <w:lvlJc w:val="left"/>
      <w:pPr>
        <w:ind w:left="4320" w:hanging="360"/>
      </w:pPr>
    </w:lvl>
    <w:lvl w:ilvl="6" w:tplc="360CE844">
      <w:start w:val="1"/>
      <w:numFmt w:val="bullet"/>
      <w:lvlText w:val="●"/>
      <w:lvlJc w:val="left"/>
      <w:pPr>
        <w:ind w:left="5040" w:hanging="360"/>
      </w:pPr>
    </w:lvl>
    <w:lvl w:ilvl="7" w:tplc="18AE4326">
      <w:start w:val="1"/>
      <w:numFmt w:val="bullet"/>
      <w:lvlText w:val="●"/>
      <w:lvlJc w:val="left"/>
      <w:pPr>
        <w:ind w:left="5760" w:hanging="360"/>
      </w:pPr>
    </w:lvl>
    <w:lvl w:ilvl="8" w:tplc="57526F5C">
      <w:start w:val="1"/>
      <w:numFmt w:val="bullet"/>
      <w:lvlText w:val="●"/>
      <w:lvlJc w:val="left"/>
      <w:pPr>
        <w:ind w:left="6480" w:hanging="360"/>
      </w:pPr>
    </w:lvl>
  </w:abstractNum>
  <w:num w:numId="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F92"/>
    <w:rsid w:val="000E0CAD"/>
    <w:rsid w:val="0023314D"/>
    <w:rsid w:val="00704E7E"/>
    <w:rsid w:val="00856F92"/>
    <w:rsid w:val="008B730B"/>
    <w:rsid w:val="009439C7"/>
    <w:rsid w:val="00996BA1"/>
    <w:rsid w:val="00AD4C71"/>
    <w:rsid w:val="00CA2EEC"/>
    <w:rsid w:val="00DC72B1"/>
    <w:rsid w:val="00E054D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5BC3"/>
  <w15:docId w15:val="{81ECEEAA-B910-45B9-A926-DEC7F9EF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oceanoflights.org/bahaullah-st-076-en" TargetMode="External"/><Relationship Id="rId1" Type="http://schemas.openxmlformats.org/officeDocument/2006/relationships/image" Target="media/image2.png"/><Relationship Id="rId6" Type="http://schemas.openxmlformats.org/officeDocument/2006/relationships/hyperlink" Target="https://oceanoflights.org" TargetMode="External"/><Relationship Id="rId5" Type="http://schemas.openxmlformats.org/officeDocument/2006/relationships/image" Target="media/image4.png"/><Relationship Id="rId4" Type="http://schemas.openxmlformats.org/officeDocument/2006/relationships/hyperlink" Target="https://oceanoflights.org/bahaullah-st-076-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لوح سلمان اول (ادرنه)</vt:lpstr>
    </vt:vector>
  </TitlesOfParts>
  <Company>SCC Soft Computer</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سلمان اول (ادرنه)</dc:title>
  <dc:creator>Ocean of Lights</dc:creator>
  <cp:lastModifiedBy>Liliane Saberin</cp:lastModifiedBy>
  <cp:revision>7</cp:revision>
  <dcterms:created xsi:type="dcterms:W3CDTF">2025-03-04T22:03:00Z</dcterms:created>
  <dcterms:modified xsi:type="dcterms:W3CDTF">2025-04-10T18:56:00Z</dcterms:modified>
</cp:coreProperties>
</file>