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8"/>
        <w:gridCol w:w="7390"/>
        <w:gridCol w:w="7390"/>
      </w:tblGrid>
      <w:tr w:rsidR="00A95760" w:rsidTr="00D3156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A95760" w:rsidRDefault="00A95760"/>
        </w:tc>
        <w:tc>
          <w:tcPr>
            <w:tcW w:w="7390" w:type="dxa"/>
            <w:tcBorders>
              <w:top w:val="nil"/>
              <w:left w:val="nil"/>
              <w:bottom w:val="nil"/>
              <w:right w:val="nil"/>
            </w:tcBorders>
            <w:tcMar>
              <w:top w:w="0" w:type="dxa"/>
              <w:left w:w="0" w:type="dxa"/>
              <w:bottom w:w="0" w:type="dxa"/>
              <w:right w:w="0" w:type="dxa"/>
            </w:tcMar>
          </w:tcPr>
          <w:p w:rsidR="00A95760" w:rsidRDefault="00FF21B6">
            <w:pPr>
              <w:pStyle w:val="Title"/>
            </w:pPr>
            <w:proofErr w:type="spellStart"/>
            <w:r>
              <w:t>Law</w:t>
            </w:r>
            <w:r>
              <w:t>ḥ</w:t>
            </w:r>
            <w:r>
              <w:t>-i-Zaynul-Muqarrabín</w:t>
            </w:r>
            <w:proofErr w:type="spellEnd"/>
            <w:r>
              <w:t xml:space="preserve"> 3</w:t>
            </w:r>
          </w:p>
        </w:tc>
        <w:tc>
          <w:tcPr>
            <w:tcW w:w="7390" w:type="dxa"/>
            <w:tcBorders>
              <w:top w:val="nil"/>
              <w:left w:val="nil"/>
              <w:bottom w:val="nil"/>
              <w:right w:val="nil"/>
            </w:tcBorders>
            <w:tcMar>
              <w:top w:w="0" w:type="dxa"/>
              <w:left w:w="0" w:type="dxa"/>
              <w:bottom w:w="0" w:type="dxa"/>
              <w:right w:w="0" w:type="dxa"/>
            </w:tcMar>
          </w:tcPr>
          <w:p w:rsidR="00A95760" w:rsidRDefault="00FF21B6">
            <w:pPr>
              <w:pStyle w:val="RTLTitle"/>
              <w:bidi/>
            </w:pPr>
            <w:r>
              <w:rPr>
                <w:rtl/>
              </w:rPr>
              <w:t>لوح زين المقربين ۳</w:t>
            </w:r>
          </w:p>
        </w:tc>
      </w:tr>
      <w:tr w:rsidR="00A95760" w:rsidTr="00D3156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A95760" w:rsidRDefault="00A95760"/>
        </w:tc>
        <w:tc>
          <w:tcPr>
            <w:tcW w:w="7390" w:type="dxa"/>
            <w:tcBorders>
              <w:top w:val="nil"/>
              <w:left w:val="nil"/>
              <w:bottom w:val="nil"/>
              <w:right w:val="nil"/>
            </w:tcBorders>
            <w:tcMar>
              <w:top w:w="0" w:type="dxa"/>
              <w:left w:w="0" w:type="dxa"/>
              <w:bottom w:w="0" w:type="dxa"/>
              <w:right w:w="0" w:type="dxa"/>
            </w:tcMar>
            <w:vAlign w:val="center"/>
          </w:tcPr>
          <w:p w:rsidR="00A95760" w:rsidRDefault="00FF21B6">
            <w:pPr>
              <w:pStyle w:val="Author"/>
            </w:pPr>
            <w:proofErr w:type="spellStart"/>
            <w:r>
              <w:t>Bahá’u’lláh</w:t>
            </w:r>
            <w:proofErr w:type="spellEnd"/>
          </w:p>
        </w:tc>
        <w:tc>
          <w:tcPr>
            <w:tcW w:w="7390" w:type="dxa"/>
            <w:tcBorders>
              <w:top w:val="nil"/>
              <w:left w:val="nil"/>
              <w:bottom w:val="nil"/>
              <w:right w:val="nil"/>
            </w:tcBorders>
            <w:tcMar>
              <w:top w:w="0" w:type="dxa"/>
              <w:left w:w="0" w:type="dxa"/>
              <w:bottom w:w="0" w:type="dxa"/>
              <w:right w:w="0" w:type="dxa"/>
            </w:tcMar>
            <w:vAlign w:val="center"/>
          </w:tcPr>
          <w:p w:rsidR="00A95760" w:rsidRDefault="00FF21B6">
            <w:pPr>
              <w:pStyle w:val="RTLAuthor"/>
              <w:bidi/>
            </w:pPr>
            <w:proofErr w:type="spellStart"/>
            <w:r>
              <w:t>حضرت</w:t>
            </w:r>
            <w:proofErr w:type="spellEnd"/>
            <w:r>
              <w:t xml:space="preserve"> </w:t>
            </w:r>
            <w:proofErr w:type="spellStart"/>
            <w:r>
              <w:t>بهاءالله</w:t>
            </w:r>
            <w:proofErr w:type="spellEnd"/>
          </w:p>
        </w:tc>
      </w:tr>
      <w:tr w:rsidR="00A95760" w:rsidTr="00D3156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A95760" w:rsidRDefault="00A95760"/>
        </w:tc>
        <w:tc>
          <w:tcPr>
            <w:tcW w:w="7390" w:type="dxa"/>
            <w:tcBorders>
              <w:top w:val="nil"/>
              <w:left w:val="nil"/>
              <w:bottom w:val="nil"/>
              <w:right w:val="nil"/>
            </w:tcBorders>
            <w:tcMar>
              <w:top w:w="0" w:type="dxa"/>
              <w:left w:w="0" w:type="dxa"/>
              <w:bottom w:w="0" w:type="dxa"/>
              <w:right w:w="0" w:type="dxa"/>
            </w:tcMar>
            <w:vAlign w:val="center"/>
          </w:tcPr>
          <w:p w:rsidR="00A95760" w:rsidRDefault="00FF21B6">
            <w:pPr>
              <w:pStyle w:val="Description"/>
            </w:pPr>
            <w:r>
              <w:t>Translated. Original Persian</w:t>
            </w:r>
          </w:p>
        </w:tc>
        <w:tc>
          <w:tcPr>
            <w:tcW w:w="7390" w:type="dxa"/>
            <w:tcBorders>
              <w:top w:val="nil"/>
              <w:left w:val="nil"/>
              <w:bottom w:val="nil"/>
              <w:right w:val="nil"/>
            </w:tcBorders>
            <w:tcMar>
              <w:top w:w="0" w:type="dxa"/>
              <w:left w:w="0" w:type="dxa"/>
              <w:bottom w:w="0" w:type="dxa"/>
              <w:right w:w="0" w:type="dxa"/>
            </w:tcMar>
            <w:vAlign w:val="center"/>
          </w:tcPr>
          <w:p w:rsidR="00A95760" w:rsidRDefault="00FF21B6">
            <w:pPr>
              <w:pStyle w:val="RTLDescription"/>
              <w:bidi/>
            </w:pPr>
            <w:proofErr w:type="spellStart"/>
            <w:r>
              <w:t>نسخه</w:t>
            </w:r>
            <w:proofErr w:type="spellEnd"/>
            <w:r>
              <w:t xml:space="preserve"> </w:t>
            </w:r>
            <w:proofErr w:type="spellStart"/>
            <w:r>
              <w:t>اصل</w:t>
            </w:r>
            <w:proofErr w:type="spellEnd"/>
            <w:r>
              <w:t xml:space="preserve"> </w:t>
            </w:r>
            <w:proofErr w:type="spellStart"/>
            <w:r>
              <w:t>فارسی</w:t>
            </w:r>
            <w:proofErr w:type="spellEnd"/>
          </w:p>
        </w:tc>
      </w:tr>
      <w:tr w:rsidR="00A95760" w:rsidTr="00D3156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A95760" w:rsidRDefault="00A95760"/>
        </w:tc>
        <w:tc>
          <w:tcPr>
            <w:tcW w:w="7390" w:type="dxa"/>
            <w:tcBorders>
              <w:top w:val="nil"/>
              <w:left w:val="nil"/>
              <w:bottom w:val="nil"/>
              <w:right w:val="nil"/>
            </w:tcBorders>
            <w:tcMar>
              <w:top w:w="0" w:type="dxa"/>
              <w:left w:w="0" w:type="dxa"/>
              <w:bottom w:w="0" w:type="dxa"/>
              <w:right w:w="0" w:type="dxa"/>
            </w:tcMar>
          </w:tcPr>
          <w:p w:rsidR="00A95760" w:rsidRDefault="00FF21B6">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7390" w:type="dxa"/>
            <w:tcBorders>
              <w:top w:val="nil"/>
              <w:left w:val="nil"/>
              <w:bottom w:val="nil"/>
              <w:right w:val="nil"/>
            </w:tcBorders>
            <w:tcMar>
              <w:top w:w="0" w:type="dxa"/>
              <w:left w:w="0" w:type="dxa"/>
              <w:bottom w:w="0" w:type="dxa"/>
              <w:right w:w="0" w:type="dxa"/>
            </w:tcMar>
          </w:tcPr>
          <w:p w:rsidR="00A95760" w:rsidRDefault="00FF21B6">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A95760" w:rsidTr="00D3156A">
        <w:tblPrEx>
          <w:tblCellMar>
            <w:top w:w="0" w:type="dxa"/>
            <w:bottom w:w="0" w:type="dxa"/>
          </w:tblCellMar>
        </w:tblPrEx>
        <w:tc>
          <w:tcPr>
            <w:tcW w:w="458" w:type="dxa"/>
            <w:tcBorders>
              <w:top w:val="nil"/>
              <w:left w:val="nil"/>
              <w:bottom w:val="single" w:sz="1" w:space="0" w:color="CCCCCC"/>
              <w:right w:val="single" w:sz="1" w:space="0" w:color="CCCCCC"/>
            </w:tcBorders>
            <w:tcMar>
              <w:top w:w="0" w:type="dxa"/>
              <w:bottom w:w="100" w:type="dxa"/>
            </w:tcMar>
          </w:tcPr>
          <w:p w:rsidR="00A95760" w:rsidRDefault="00A95760">
            <w:pPr>
              <w:pStyle w:val="NumberCell"/>
            </w:pPr>
          </w:p>
        </w:tc>
        <w:tc>
          <w:tcPr>
            <w:tcW w:w="7390" w:type="dxa"/>
            <w:tcBorders>
              <w:top w:val="nil"/>
              <w:left w:val="nil"/>
              <w:bottom w:val="single" w:sz="1" w:space="0" w:color="CCCCCC"/>
              <w:right w:val="nil"/>
            </w:tcBorders>
            <w:tcMar>
              <w:top w:w="0" w:type="dxa"/>
              <w:left w:w="340" w:type="dxa"/>
              <w:bottom w:w="100" w:type="dxa"/>
              <w:right w:w="220" w:type="dxa"/>
            </w:tcMar>
            <w:vAlign w:val="center"/>
          </w:tcPr>
          <w:p w:rsidR="00A95760" w:rsidRDefault="00FF21B6">
            <w:pPr>
              <w:pStyle w:val="Heading3"/>
            </w:pPr>
            <w:hyperlink w:anchor="lawh-i-zaynul-mugarrabin-3--gleanings-from-the-writings-of-baháulláh-no-86-pages-196--172" w:history="1"/>
            <w:proofErr w:type="spellStart"/>
            <w:r>
              <w:t>Lawh-i-Zaynul-Mugarrabin</w:t>
            </w:r>
            <w:proofErr w:type="spellEnd"/>
            <w:r>
              <w:t xml:space="preserve"> (3) – Gleanings </w:t>
            </w:r>
            <w:proofErr w:type="gramStart"/>
            <w:r>
              <w:t>From</w:t>
            </w:r>
            <w:proofErr w:type="gramEnd"/>
            <w:r>
              <w:t xml:space="preserve"> The Writings of </w:t>
            </w:r>
            <w:proofErr w:type="spellStart"/>
            <w:r>
              <w:t>Bahá’u’lláh</w:t>
            </w:r>
            <w:proofErr w:type="spellEnd"/>
            <w:r>
              <w:t>, No. 86, Pages: 196 – 172</w:t>
            </w:r>
          </w:p>
        </w:tc>
        <w:tc>
          <w:tcPr>
            <w:tcW w:w="7390" w:type="dxa"/>
            <w:tcBorders>
              <w:top w:val="nil"/>
              <w:left w:val="nil"/>
              <w:bottom w:val="single" w:sz="1" w:space="0" w:color="CCCCCC"/>
              <w:right w:val="nil"/>
            </w:tcBorders>
            <w:tcMar>
              <w:top w:w="0" w:type="dxa"/>
              <w:left w:w="220" w:type="dxa"/>
              <w:bottom w:w="100" w:type="dxa"/>
              <w:right w:w="340" w:type="dxa"/>
            </w:tcMar>
            <w:vAlign w:val="center"/>
          </w:tcPr>
          <w:p w:rsidR="00A95760" w:rsidRDefault="00FF21B6">
            <w:pPr>
              <w:pStyle w:val="RTLHeading3Low"/>
              <w:bidi/>
            </w:pPr>
            <w:hyperlink w:anchor="لوح-زین-المقربین-٣--منتخباتى-از-آثار-حضرت-بهاءالله-١٦٣-بديع-رقم-٨٦-صفحه-٦٧" w:history="1"/>
            <w:r>
              <w:rPr>
                <w:rtl/>
              </w:rPr>
              <w:t>لوح زین المقربین (٣) – منتخباتى از آثار حضرت بهاءالله، ١٦٣ بدي</w:t>
            </w:r>
            <w:r>
              <w:rPr>
                <w:rtl/>
              </w:rPr>
              <w:t>ع، رقم ٨٦، صفحه ٦٧</w:t>
            </w:r>
          </w:p>
        </w:tc>
      </w:tr>
      <w:tr w:rsidR="00A95760" w:rsidTr="00D3156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A95760" w:rsidRDefault="00D3156A">
            <w:pPr>
              <w:pStyle w:val="NumberCell"/>
            </w:pPr>
            <w:r>
              <w:t>1</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A95760" w:rsidRDefault="00FF21B6">
            <w:pPr>
              <w:bidi w:val="0"/>
            </w:pPr>
            <w:r>
              <w:t xml:space="preserve">And now concerning thy question whether human souls continue to be conscious one of another after their separation from the body. Know thou that the souls of the people of </w:t>
            </w:r>
            <w:proofErr w:type="spellStart"/>
            <w:r>
              <w:t>Bahá</w:t>
            </w:r>
            <w:proofErr w:type="spellEnd"/>
            <w:r>
              <w:t xml:space="preserve">, who have entered and been established within the Crimson Ark, shall associate </w:t>
            </w:r>
            <w:r>
              <w:t>and commune intimately one with another, and shall be so closely associated in their lives, their aspirations, their aims and strivings as to be even as one soul. They are indeed the ones who are well-informed, who are keen-sighted, and who are endued with</w:t>
            </w:r>
            <w:r>
              <w:t xml:space="preserve"> understanding. </w:t>
            </w:r>
            <w:proofErr w:type="gramStart"/>
            <w:r>
              <w:t>Thus</w:t>
            </w:r>
            <w:proofErr w:type="gramEnd"/>
            <w:r>
              <w:t xml:space="preserve"> hath it been decreed by Him Who is the All-Knowing, the All-Wise.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A95760" w:rsidRDefault="00FF21B6">
            <w:pPr>
              <w:pStyle w:val="RTLNormalLow"/>
              <w:bidi/>
            </w:pPr>
            <w:r>
              <w:rPr>
                <w:rtl/>
              </w:rPr>
              <w:t>وأمّا ما سئلت من الأرواح واطّلاع بعضها علی بعض بعد صعودها فاعلم أنّ أهل البهآء الّذين استقرّوا علی السّفينة الحمرآء أولئک يعاشرون ويؤانسون ويجالسون ويطيرون ويقصدون ويصعد</w:t>
            </w:r>
            <w:r>
              <w:rPr>
                <w:rtl/>
              </w:rPr>
              <w:t xml:space="preserve">ون کأنّهم نفس واحدة ألا إنّهم هم المطّلعون وهم النّاظرون وهم العارفون کذلک قضی الأمر من لدن عليم حکيم </w:t>
            </w:r>
          </w:p>
        </w:tc>
      </w:tr>
      <w:tr w:rsidR="00D3156A" w:rsidTr="00D3156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D3156A" w:rsidRDefault="00D3156A" w:rsidP="00D3156A">
            <w:pPr>
              <w:pStyle w:val="NumberCell"/>
            </w:pPr>
            <w:r>
              <w:t>2</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D3156A" w:rsidRDefault="00D3156A" w:rsidP="00D3156A">
            <w:pPr>
              <w:bidi w:val="0"/>
            </w:pPr>
            <w:r>
              <w:t xml:space="preserve">The people of </w:t>
            </w:r>
            <w:proofErr w:type="spellStart"/>
            <w:r>
              <w:t>Bahá</w:t>
            </w:r>
            <w:proofErr w:type="spellEnd"/>
            <w:r>
              <w:t xml:space="preserve">,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t>
            </w:r>
            <w:r>
              <w:lastRenderedPageBreak/>
              <w:t>winged its flight unto God, the Sovereign Lord of all, the Most Powerful, the Ever-Forgiving, the All-Merciful.</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D3156A" w:rsidRDefault="00D3156A" w:rsidP="00D3156A">
            <w:pPr>
              <w:pStyle w:val="RTLNormalLow"/>
              <w:bidi/>
              <w:rPr>
                <w:rtl/>
              </w:rPr>
            </w:pPr>
            <w:r>
              <w:rPr>
                <w:rtl/>
              </w:rPr>
              <w:lastRenderedPageBreak/>
              <w:t xml:space="preserve">اهل بها که در سفينه الهيّه ساکنند کلّ از احوال يکديگر مطلع و با هم مأنوس و مصاحب و معاشر اين مقام منوط بايقان و اعمال نفوس است نفوسی که در يک درجه واقفند مطّلعند از کميّات و کيفيّات و درائج و مقامات يکديگر و نفوسی که در تحت اين نفوس واقعند کما هو حقّه بر مراتب و مقامات نفوس عاليه از خود اطّلاع نيابند لکلّ نصيب عند ربّک طوبی لنفس توجّه الی اللّه و استقام فی حبّه الی ان طار روحه اِلی اللّه الملک المقتدر الغفور الرّحيم </w:t>
            </w:r>
          </w:p>
        </w:tc>
      </w:tr>
      <w:tr w:rsidR="00D3156A" w:rsidTr="00D3156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D3156A" w:rsidRDefault="00D3156A" w:rsidP="00D3156A">
            <w:pPr>
              <w:pStyle w:val="NumberCell"/>
            </w:pPr>
            <w:r>
              <w:t>3</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D3156A" w:rsidRDefault="00D3156A" w:rsidP="00D3156A">
            <w:pPr>
              <w:bidi w:val="0"/>
            </w:pPr>
            <w:r>
              <w:t>The souls of the infidels, however, shall - and to this I bear witness - when breathing their last be made aware of the good things that have escaped them, and shall bemoan their plight, and shall humble themselves before God. They shall continue doing so after the separation of their souls from their bodies.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D3156A" w:rsidRDefault="00D3156A" w:rsidP="00D3156A">
            <w:pPr>
              <w:pStyle w:val="RTLNormalLow"/>
              <w:bidi/>
              <w:rPr>
                <w:rtl/>
              </w:rPr>
            </w:pPr>
            <w:r>
              <w:rPr>
                <w:rtl/>
              </w:rPr>
              <w:t xml:space="preserve">و امّا ارواح کفّار لعمری حين الاحتضار يعرفون مافات عنهم و ينوحون و يتضرّعون و کذلک بعد خروج ارواحهم من ابدانهم </w:t>
            </w:r>
          </w:p>
        </w:tc>
      </w:tr>
      <w:tr w:rsidR="007E57B6" w:rsidTr="00D3156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E57B6" w:rsidRDefault="007E57B6" w:rsidP="007E57B6">
            <w:pPr>
              <w:pStyle w:val="NumberCell"/>
            </w:pPr>
            <w:r>
              <w:t>4</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E57B6" w:rsidRDefault="007E57B6" w:rsidP="007E57B6">
            <w:pPr>
              <w:bidi w:val="0"/>
            </w:pPr>
            <w:r>
              <w:t>It is clear and evident that all men shall, after their physical death, estimate the worth of their deeds, and realize all that their hands have wrought. I swear by the Day 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favor and the manifold bounties of Him Who is the Lord of all Faiths....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E57B6" w:rsidRDefault="007E57B6" w:rsidP="007E57B6">
            <w:pPr>
              <w:pStyle w:val="RTLNormalLow"/>
              <w:bidi/>
              <w:rPr>
                <w:rtl/>
              </w:rPr>
            </w:pPr>
            <w:r>
              <w:rPr>
                <w:rtl/>
              </w:rPr>
              <w:t>اين بسی معلوم و واضح است که کلّ بعد از موت مطّلع بافعال و اعمال خود خواهند شد قسم بآفتاب افق اقتدار که اهل حق را در آن حين فرحی دست دهد که ذکر آن ممکن نه و همچنين اصحاب ضلال را خوف و اضطراب و وحشتی رو نمايد که فوق آن متصوّر نه نيکوست حال نفسی که رحيق لطيف باقی ايمان را از يد عنايت و الطاف مالک اديان گرفت و آشاميد ...</w:t>
            </w:r>
          </w:p>
        </w:tc>
      </w:tr>
      <w:tr w:rsidR="007E57B6" w:rsidTr="00D3156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E57B6" w:rsidRDefault="007E57B6" w:rsidP="007E57B6">
            <w:pPr>
              <w:pStyle w:val="NumberCell"/>
            </w:pPr>
            <w:r>
              <w:t>5</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E57B6" w:rsidRDefault="007E57B6" w:rsidP="007E57B6">
            <w:pPr>
              <w:bidi w:val="0"/>
            </w:pPr>
            <w:r>
              <w:t>This is the Day when the loved ones of God should keep their eyes directed towards His Manifestation, and fasten them upon whatsoever that Manifestation may be pleased to reveal. Certain traditions of bygone ages rest on no foundations whatever, while the notions entertained by past generations, and which they have recorded in their books, have, for the most part, been influenced by the desires of a corrupt inclination. Thou dost witness how most of the commentaries and interpretations of the words of God, now current amongst men, are devoid of truth. Their falsity hath, in some cases, been exposed when the intervening veils were rent asunder. They themselves have acknowledged their failure in apprehending the meaning of any of the words of God.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E57B6" w:rsidRDefault="007E57B6" w:rsidP="007E57B6">
            <w:pPr>
              <w:pStyle w:val="RTLNormalLow"/>
              <w:bidi/>
            </w:pPr>
            <w:r>
              <w:rPr>
                <w:rtl/>
              </w:rPr>
              <w:t xml:space="preserve">اليوم بايد احبّای الهی ناظر بظهور و ما يظهر منه باشند بعضی روايات قبليّه اصلی نداشته و ندارد و آنچه هم ملل قبل ادراک کرده‌اند و در کتب ذکر نموده‌اند اکثر آن بهوای نفس بوده چنانچه مشاهده نموده‌ايد که آنچه در دست ناس موجود است از معانی و تأويلات کلمات الهيّه اکثری بغير حق بوده چنانچه بعد از خرق حجاب بعضی معلوم و واضح شد و تصديق نمودند که کلمه از کلمات الهيّه را ادراک ننموده </w:t>
            </w:r>
          </w:p>
        </w:tc>
      </w:tr>
      <w:tr w:rsidR="007E57B6" w:rsidTr="00D3156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E57B6" w:rsidRDefault="007E57B6" w:rsidP="007E57B6">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E57B6" w:rsidRDefault="007E57B6" w:rsidP="007E57B6">
            <w:pPr>
              <w:bidi w:val="0"/>
            </w:pP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E57B6" w:rsidRDefault="007E57B6" w:rsidP="007E57B6">
            <w:pPr>
              <w:pStyle w:val="RTLNormalLow"/>
              <w:bidi/>
            </w:pPr>
          </w:p>
        </w:tc>
      </w:tr>
      <w:tr w:rsidR="007E57B6" w:rsidTr="00D3156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E57B6" w:rsidRDefault="007E57B6" w:rsidP="007E57B6">
            <w:pPr>
              <w:pStyle w:val="NumberCell"/>
            </w:pPr>
            <w:r>
              <w:t>6</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E57B6" w:rsidRDefault="007E57B6" w:rsidP="007E57B6">
            <w:pPr>
              <w:bidi w:val="0"/>
            </w:pPr>
            <w:r>
              <w:t>Our purpose is to show that should the loved ones of God sanctify their hearts and their ears from the vain sayings that were uttered aforetime, and turn with their inmost souls to Him Who is the Day Spring of His Revelation, and to whatsoever things He hath manifested, such behavior would be regarded as highly meritorious in the sight of God....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E57B6" w:rsidRPr="007E57B6" w:rsidRDefault="007E57B6" w:rsidP="007E57B6">
            <w:pPr>
              <w:rPr>
                <w:sz w:val="24"/>
                <w:szCs w:val="24"/>
              </w:rPr>
            </w:pPr>
            <w:r w:rsidRPr="007E57B6">
              <w:rPr>
                <w:sz w:val="24"/>
                <w:szCs w:val="24"/>
                <w:rtl/>
              </w:rPr>
              <w:t>بودند مقصود آنکه اگر احبّای الهی قلب و سمع را از آنچه از قبل شنيده‌اند طاهر نمايند و بتمام توجّه بمطلع امر و ما ظهر من عنده ناظر شوند عند اللّه احبّ بوده ...</w:t>
            </w:r>
          </w:p>
        </w:tc>
      </w:tr>
      <w:tr w:rsidR="007E57B6" w:rsidTr="0048089B">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E57B6" w:rsidRDefault="007E57B6" w:rsidP="007E57B6">
            <w:pPr>
              <w:pStyle w:val="NumberCell"/>
            </w:pPr>
            <w:r>
              <w:t>7</w:t>
            </w:r>
          </w:p>
        </w:tc>
        <w:tc>
          <w:tcPr>
            <w:tcW w:w="7390" w:type="dxa"/>
            <w:tcBorders>
              <w:top w:val="single" w:sz="1" w:space="0" w:color="CCCCCC"/>
              <w:left w:val="nil"/>
              <w:bottom w:val="nil"/>
              <w:right w:val="nil"/>
            </w:tcBorders>
            <w:tcMar>
              <w:top w:w="100" w:type="dxa"/>
              <w:left w:w="340" w:type="dxa"/>
              <w:bottom w:w="100" w:type="dxa"/>
              <w:right w:w="220" w:type="dxa"/>
            </w:tcMar>
          </w:tcPr>
          <w:p w:rsidR="007E57B6" w:rsidRDefault="007E57B6" w:rsidP="007E57B6">
            <w:pPr>
              <w:bidi w:val="0"/>
            </w:pPr>
            <w:r>
              <w:t>Magnify His Name, and be thou of the thankful. Convey My greetings to My loved ones, whom God hath singled out for His love, and caused them to achieve their objects. All glory be to God, the Lord of all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E57B6" w:rsidRPr="007E57B6" w:rsidRDefault="007E57B6" w:rsidP="007E57B6">
            <w:pPr>
              <w:rPr>
                <w:sz w:val="24"/>
                <w:szCs w:val="24"/>
              </w:rPr>
            </w:pPr>
            <w:r w:rsidRPr="007E57B6">
              <w:rPr>
                <w:sz w:val="24"/>
                <w:szCs w:val="24"/>
                <w:rtl/>
              </w:rPr>
              <w:t>أحمد وکن من الشّاکرين کبّر من قبلي أحبّائي الّذين اختصّهم اللّه لحبّه وجعلهم من الفائزين والحمد للّه ربّ العالمين .</w:t>
            </w:r>
          </w:p>
        </w:tc>
      </w:tr>
      <w:tr w:rsidR="007E57B6" w:rsidTr="00B02DA2">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E57B6" w:rsidRDefault="007E57B6" w:rsidP="007E57B6">
            <w:pPr>
              <w:pStyle w:val="NumberCell"/>
            </w:pPr>
          </w:p>
        </w:tc>
        <w:tc>
          <w:tcPr>
            <w:tcW w:w="7390" w:type="dxa"/>
            <w:tcBorders>
              <w:top w:val="single" w:sz="1" w:space="0" w:color="CCCCCC"/>
              <w:left w:val="nil"/>
              <w:bottom w:val="nil"/>
              <w:right w:val="nil"/>
            </w:tcBorders>
            <w:tcMar>
              <w:top w:w="100" w:type="dxa"/>
              <w:left w:w="340" w:type="dxa"/>
              <w:bottom w:w="100" w:type="dxa"/>
              <w:right w:w="220" w:type="dxa"/>
            </w:tcMar>
          </w:tcPr>
          <w:p w:rsidR="007E57B6" w:rsidRDefault="007E57B6" w:rsidP="007E57B6">
            <w:pPr>
              <w:bidi w:val="0"/>
            </w:pP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E57B6" w:rsidRDefault="007E57B6" w:rsidP="007E57B6"/>
        </w:tc>
      </w:tr>
      <w:tr w:rsidR="007E57B6" w:rsidTr="00D3156A">
        <w:tblPrEx>
          <w:tblCellMar>
            <w:top w:w="0" w:type="dxa"/>
            <w:bottom w:w="0" w:type="dxa"/>
          </w:tblCellMar>
        </w:tblPrEx>
        <w:tc>
          <w:tcPr>
            <w:tcW w:w="458" w:type="dxa"/>
            <w:tcBorders>
              <w:top w:val="single" w:sz="1" w:space="0" w:color="CCCCCC"/>
              <w:left w:val="nil"/>
              <w:bottom w:val="nil"/>
              <w:right w:val="single" w:sz="1" w:space="0" w:color="CCCCCC"/>
            </w:tcBorders>
            <w:tcMar>
              <w:top w:w="100" w:type="dxa"/>
              <w:bottom w:w="100" w:type="dxa"/>
            </w:tcMar>
          </w:tcPr>
          <w:p w:rsidR="007E57B6" w:rsidRDefault="007E57B6" w:rsidP="007E57B6">
            <w:pPr>
              <w:pStyle w:val="NumberCell"/>
            </w:pPr>
          </w:p>
        </w:tc>
        <w:tc>
          <w:tcPr>
            <w:tcW w:w="7390" w:type="dxa"/>
            <w:tcBorders>
              <w:top w:val="single" w:sz="1" w:space="0" w:color="CCCCCC"/>
              <w:left w:val="nil"/>
              <w:bottom w:val="nil"/>
              <w:right w:val="nil"/>
            </w:tcBorders>
            <w:tcMar>
              <w:top w:w="100" w:type="dxa"/>
              <w:left w:w="340" w:type="dxa"/>
              <w:bottom w:w="100" w:type="dxa"/>
              <w:right w:w="220" w:type="dxa"/>
            </w:tcMar>
          </w:tcPr>
          <w:p w:rsidR="007E57B6" w:rsidRDefault="007E57B6" w:rsidP="007E57B6">
            <w:pPr>
              <w:bidi w:val="0"/>
            </w:pPr>
          </w:p>
        </w:tc>
        <w:tc>
          <w:tcPr>
            <w:tcW w:w="7390" w:type="dxa"/>
            <w:tcBorders>
              <w:top w:val="single" w:sz="1" w:space="0" w:color="CCCCCC"/>
              <w:left w:val="nil"/>
              <w:bottom w:val="nil"/>
              <w:right w:val="nil"/>
            </w:tcBorders>
            <w:tcMar>
              <w:top w:w="100" w:type="dxa"/>
              <w:left w:w="220" w:type="dxa"/>
              <w:bottom w:w="100" w:type="dxa"/>
              <w:right w:w="340" w:type="dxa"/>
            </w:tcMar>
          </w:tcPr>
          <w:p w:rsidR="007E57B6" w:rsidRDefault="007E57B6" w:rsidP="007E57B6"/>
        </w:tc>
      </w:tr>
    </w:tbl>
    <w:p w:rsidR="00153E77" w:rsidRDefault="00153E77">
      <w:r>
        <w:tab/>
      </w:r>
      <w:r>
        <w:tab/>
      </w:r>
      <w:r>
        <w:tab/>
      </w:r>
      <w:r>
        <w:tab/>
      </w:r>
      <w:bookmarkStart w:id="0" w:name="_GoBack"/>
      <w:bookmarkEnd w:id="0"/>
      <w:r>
        <w:tab/>
      </w:r>
      <w:r>
        <w:tab/>
      </w:r>
      <w:r>
        <w:tab/>
      </w:r>
      <w:r>
        <w:tab/>
      </w:r>
      <w:r>
        <w:tab/>
      </w:r>
      <w:r>
        <w:tab/>
      </w:r>
      <w:r>
        <w:rPr>
          <w:noProof/>
        </w:rPr>
        <w:drawing>
          <wp:inline distT="0" distB="0" distL="0" distR="0" wp14:anchorId="0AF0BB28" wp14:editId="5048AA73">
            <wp:extent cx="1371600" cy="266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sectPr w:rsidR="00153E77">
      <w:headerReference w:type="default" r:id="rId8"/>
      <w:footerReference w:type="default" r:id="rId9"/>
      <w:headerReference w:type="first" r:id="rId10"/>
      <w:footerReference w:type="first" r:id="rId11"/>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1B6" w:rsidRDefault="00FF21B6">
      <w:pPr>
        <w:spacing w:line="240" w:lineRule="auto"/>
      </w:pPr>
      <w:r>
        <w:separator/>
      </w:r>
    </w:p>
  </w:endnote>
  <w:endnote w:type="continuationSeparator" w:id="0">
    <w:p w:rsidR="00FF21B6" w:rsidRDefault="00FF2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Amiri">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Mono">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760" w:rsidRDefault="00FF21B6">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rsidR="0084304D">
      <w:fldChar w:fldCharType="separate"/>
    </w:r>
    <w:r w:rsidR="0084304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760" w:rsidRDefault="00FF21B6">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11"/>
      <w:gridCol w:w="1479"/>
    </w:tblGrid>
    <w:tr w:rsidR="00A95760">
      <w:tblPrEx>
        <w:tblCellMar>
          <w:top w:w="0" w:type="dxa"/>
          <w:bottom w:w="0" w:type="dxa"/>
        </w:tblCellMar>
      </w:tblPrEx>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68"/>
            <w:gridCol w:w="1469"/>
            <w:gridCol w:w="4563"/>
          </w:tblGrid>
          <w:tr w:rsidR="00A95760">
            <w:tblPrEx>
              <w:tblCellMar>
                <w:top w:w="0" w:type="dxa"/>
                <w:bottom w:w="0" w:type="dxa"/>
              </w:tblCellMar>
            </w:tblPrEx>
            <w:tc>
              <w:tcPr>
                <w:tcW w:w="1400" w:type="dxa"/>
                <w:tcBorders>
                  <w:top w:val="nil"/>
                  <w:left w:val="nil"/>
                  <w:bottom w:val="nil"/>
                  <w:right w:val="nil"/>
                </w:tcBorders>
                <w:tcMar>
                  <w:top w:w="0" w:type="dxa"/>
                  <w:left w:w="350" w:type="dxa"/>
                  <w:bottom w:w="60" w:type="dxa"/>
                  <w:right w:w="350" w:type="dxa"/>
                </w:tcMar>
              </w:tcPr>
              <w:p w:rsidR="00A95760" w:rsidRDefault="00FF21B6">
                <w:pPr>
                  <w:pStyle w:val="QrCode"/>
                </w:pPr>
                <w:hyperlink r:id="rId2" w:history="1">
                  <w:r>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A95760" w:rsidRDefault="00FF21B6">
                <w:pPr>
                  <w:pStyle w:val="QrCode"/>
                </w:pPr>
                <w:hyperlink r:id="rId4" w:history="1">
                  <w:r>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A95760" w:rsidRDefault="00FF21B6">
                <w:pPr>
                  <w:pStyle w:val="SiteLink"/>
                </w:pPr>
                <w:hyperlink r:id="rId6" w:history="1">
                  <w:r>
                    <w:rPr>
                      <w:rStyle w:val="Hyperlink"/>
                    </w:rPr>
                    <w:t>oceanoflights.org</w:t>
                  </w:r>
                </w:hyperlink>
              </w:p>
            </w:tc>
          </w:tr>
          <w:tr w:rsidR="00A95760">
            <w:tblPrEx>
              <w:tblCellMar>
                <w:top w:w="0" w:type="dxa"/>
                <w:bottom w:w="0" w:type="dxa"/>
              </w:tblCellMar>
            </w:tblPrEx>
            <w:tc>
              <w:tcPr>
                <w:tcW w:w="1400" w:type="dxa"/>
                <w:tcBorders>
                  <w:top w:val="nil"/>
                  <w:left w:val="nil"/>
                  <w:bottom w:val="nil"/>
                  <w:right w:val="nil"/>
                </w:tcBorders>
                <w:tcMar>
                  <w:top w:w="0" w:type="dxa"/>
                  <w:left w:w="0" w:type="dxa"/>
                  <w:bottom w:w="0" w:type="dxa"/>
                  <w:right w:w="0" w:type="dxa"/>
                </w:tcMar>
              </w:tcPr>
              <w:p w:rsidR="00A95760" w:rsidRDefault="00FF21B6">
                <w:pPr>
                  <w:pStyle w:val="QrDescription"/>
                </w:pPr>
                <w:r>
                  <w:t>TRANSLATION</w:t>
                </w:r>
              </w:p>
            </w:tc>
            <w:tc>
              <w:tcPr>
                <w:tcW w:w="1400" w:type="dxa"/>
                <w:tcBorders>
                  <w:top w:val="nil"/>
                  <w:left w:val="nil"/>
                  <w:bottom w:val="nil"/>
                  <w:right w:val="nil"/>
                </w:tcBorders>
                <w:tcMar>
                  <w:top w:w="0" w:type="dxa"/>
                  <w:left w:w="0" w:type="dxa"/>
                  <w:bottom w:w="0" w:type="dxa"/>
                  <w:right w:w="0" w:type="dxa"/>
                </w:tcMar>
              </w:tcPr>
              <w:p w:rsidR="00A95760" w:rsidRDefault="00FF21B6">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A95760" w:rsidRDefault="00A95760">
                <w:pPr>
                  <w:pStyle w:val="Invisible"/>
                </w:pPr>
              </w:p>
            </w:tc>
          </w:tr>
        </w:tbl>
        <w:p w:rsidR="00A95760" w:rsidRDefault="00A95760">
          <w:pPr>
            <w:pStyle w:val="Invisible"/>
          </w:pPr>
        </w:p>
      </w:tc>
      <w:tc>
        <w:tcPr>
          <w:tcW w:w="1523" w:type="dxa"/>
          <w:tcBorders>
            <w:top w:val="nil"/>
            <w:left w:val="nil"/>
            <w:bottom w:val="nil"/>
            <w:right w:val="nil"/>
          </w:tcBorders>
          <w:tcMar>
            <w:top w:w="0" w:type="dxa"/>
            <w:left w:w="0" w:type="dxa"/>
            <w:bottom w:w="0" w:type="dxa"/>
            <w:right w:w="0" w:type="dxa"/>
          </w:tcMar>
          <w:vAlign w:val="center"/>
        </w:tcPr>
        <w:p w:rsidR="00A95760" w:rsidRDefault="00FF21B6">
          <w:pPr>
            <w:pStyle w:val="Footer"/>
          </w:pPr>
          <w:r>
            <w:fldChar w:fldCharType="begin"/>
          </w:r>
          <w:r>
            <w:instrText>PAGE</w:instrText>
          </w:r>
          <w:r w:rsidR="0084304D">
            <w:fldChar w:fldCharType="separate"/>
          </w:r>
          <w:r w:rsidR="0084304D">
            <w:rPr>
              <w:noProof/>
            </w:rPr>
            <w:t>1</w:t>
          </w:r>
          <w:r>
            <w:fldChar w:fldCharType="end"/>
          </w:r>
        </w:p>
      </w:tc>
    </w:tr>
  </w:tbl>
  <w:p w:rsidR="00A95760" w:rsidRDefault="00A95760">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1B6" w:rsidRDefault="00FF21B6">
      <w:pPr>
        <w:spacing w:line="240" w:lineRule="auto"/>
      </w:pPr>
      <w:r>
        <w:separator/>
      </w:r>
    </w:p>
  </w:footnote>
  <w:footnote w:type="continuationSeparator" w:id="0">
    <w:p w:rsidR="00FF21B6" w:rsidRDefault="00FF21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760" w:rsidRDefault="00FF21B6">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760" w:rsidRDefault="00FF21B6">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383C"/>
    <w:multiLevelType w:val="hybridMultilevel"/>
    <w:tmpl w:val="2D568340"/>
    <w:lvl w:ilvl="0" w:tplc="9F7CD93A">
      <w:start w:val="1"/>
      <w:numFmt w:val="bullet"/>
      <w:lvlText w:val="●"/>
      <w:lvlJc w:val="left"/>
      <w:pPr>
        <w:ind w:left="720" w:hanging="360"/>
      </w:pPr>
    </w:lvl>
    <w:lvl w:ilvl="1" w:tplc="1B54A7AE">
      <w:start w:val="1"/>
      <w:numFmt w:val="bullet"/>
      <w:lvlText w:val="○"/>
      <w:lvlJc w:val="left"/>
      <w:pPr>
        <w:ind w:left="1440" w:hanging="360"/>
      </w:pPr>
    </w:lvl>
    <w:lvl w:ilvl="2" w:tplc="35123A76">
      <w:start w:val="1"/>
      <w:numFmt w:val="bullet"/>
      <w:lvlText w:val="■"/>
      <w:lvlJc w:val="left"/>
      <w:pPr>
        <w:ind w:left="2160" w:hanging="360"/>
      </w:pPr>
    </w:lvl>
    <w:lvl w:ilvl="3" w:tplc="4A26EA68">
      <w:start w:val="1"/>
      <w:numFmt w:val="bullet"/>
      <w:lvlText w:val="●"/>
      <w:lvlJc w:val="left"/>
      <w:pPr>
        <w:ind w:left="2880" w:hanging="360"/>
      </w:pPr>
    </w:lvl>
    <w:lvl w:ilvl="4" w:tplc="477028C0">
      <w:start w:val="1"/>
      <w:numFmt w:val="bullet"/>
      <w:lvlText w:val="○"/>
      <w:lvlJc w:val="left"/>
      <w:pPr>
        <w:ind w:left="3600" w:hanging="360"/>
      </w:pPr>
    </w:lvl>
    <w:lvl w:ilvl="5" w:tplc="C45E01C8">
      <w:start w:val="1"/>
      <w:numFmt w:val="bullet"/>
      <w:lvlText w:val="■"/>
      <w:lvlJc w:val="left"/>
      <w:pPr>
        <w:ind w:left="4320" w:hanging="360"/>
      </w:pPr>
    </w:lvl>
    <w:lvl w:ilvl="6" w:tplc="8FF2CE26">
      <w:start w:val="1"/>
      <w:numFmt w:val="bullet"/>
      <w:lvlText w:val="●"/>
      <w:lvlJc w:val="left"/>
      <w:pPr>
        <w:ind w:left="5040" w:hanging="360"/>
      </w:pPr>
    </w:lvl>
    <w:lvl w:ilvl="7" w:tplc="3DF6876E">
      <w:start w:val="1"/>
      <w:numFmt w:val="bullet"/>
      <w:lvlText w:val="●"/>
      <w:lvlJc w:val="left"/>
      <w:pPr>
        <w:ind w:left="5760" w:hanging="360"/>
      </w:pPr>
    </w:lvl>
    <w:lvl w:ilvl="8" w:tplc="14509204">
      <w:start w:val="1"/>
      <w:numFmt w:val="bullet"/>
      <w:lvlText w:val="●"/>
      <w:lvlJc w:val="left"/>
      <w:pPr>
        <w:ind w:left="6480" w:hanging="360"/>
      </w:pPr>
    </w:lvl>
  </w:abstractNum>
  <w:abstractNum w:abstractNumId="1" w15:restartNumberingAfterBreak="0">
    <w:nsid w:val="0D1E5DF4"/>
    <w:multiLevelType w:val="hybridMultilevel"/>
    <w:tmpl w:val="3DF672A8"/>
    <w:lvl w:ilvl="0" w:tplc="1B4693E8">
      <w:start w:val="1"/>
      <w:numFmt w:val="decimal"/>
      <w:lvlText w:val="%1."/>
      <w:lvlJc w:val="left"/>
      <w:pPr>
        <w:ind w:left="566" w:hanging="425"/>
      </w:pPr>
      <w:rPr>
        <w:rFonts w:ascii="Montserrat" w:eastAsia="Montserrat" w:hAnsi="Montserrat" w:cs="Montserrat"/>
        <w:color w:val="2D9CDB"/>
        <w:spacing w:val="-3"/>
        <w:sz w:val="20"/>
        <w:szCs w:val="20"/>
      </w:rPr>
    </w:lvl>
    <w:lvl w:ilvl="1" w:tplc="A00A32EC">
      <w:start w:val="1"/>
      <w:numFmt w:val="decimal"/>
      <w:lvlText w:val="%2."/>
      <w:lvlJc w:val="left"/>
      <w:pPr>
        <w:ind w:left="1133" w:hanging="425"/>
      </w:pPr>
      <w:rPr>
        <w:rFonts w:ascii="Montserrat" w:eastAsia="Montserrat" w:hAnsi="Montserrat" w:cs="Montserrat"/>
        <w:color w:val="2D9CDB"/>
        <w:spacing w:val="-3"/>
        <w:sz w:val="20"/>
        <w:szCs w:val="20"/>
      </w:rPr>
    </w:lvl>
    <w:lvl w:ilvl="2" w:tplc="F9FAB87E">
      <w:start w:val="1"/>
      <w:numFmt w:val="decimal"/>
      <w:lvlText w:val="%3."/>
      <w:lvlJc w:val="left"/>
      <w:pPr>
        <w:ind w:left="1700" w:hanging="425"/>
      </w:pPr>
      <w:rPr>
        <w:rFonts w:ascii="Montserrat" w:eastAsia="Montserrat" w:hAnsi="Montserrat" w:cs="Montserrat"/>
        <w:color w:val="2D9CDB"/>
        <w:spacing w:val="-3"/>
        <w:sz w:val="20"/>
        <w:szCs w:val="20"/>
      </w:rPr>
    </w:lvl>
    <w:lvl w:ilvl="3" w:tplc="3DA4364A">
      <w:start w:val="1"/>
      <w:numFmt w:val="decimal"/>
      <w:lvlText w:val="%4."/>
      <w:lvlJc w:val="left"/>
      <w:pPr>
        <w:ind w:left="2267" w:hanging="425"/>
      </w:pPr>
      <w:rPr>
        <w:rFonts w:ascii="Montserrat" w:eastAsia="Montserrat" w:hAnsi="Montserrat" w:cs="Montserrat"/>
        <w:color w:val="2D9CDB"/>
        <w:spacing w:val="-3"/>
        <w:sz w:val="20"/>
        <w:szCs w:val="20"/>
      </w:rPr>
    </w:lvl>
    <w:lvl w:ilvl="4" w:tplc="13FE57B6">
      <w:start w:val="1"/>
      <w:numFmt w:val="decimal"/>
      <w:lvlText w:val="%5."/>
      <w:lvlJc w:val="left"/>
      <w:pPr>
        <w:ind w:left="2834" w:hanging="425"/>
      </w:pPr>
      <w:rPr>
        <w:rFonts w:ascii="Montserrat" w:eastAsia="Montserrat" w:hAnsi="Montserrat" w:cs="Montserrat"/>
        <w:color w:val="2D9CDB"/>
        <w:spacing w:val="-3"/>
        <w:sz w:val="20"/>
        <w:szCs w:val="20"/>
      </w:rPr>
    </w:lvl>
    <w:lvl w:ilvl="5" w:tplc="49EE999A">
      <w:start w:val="1"/>
      <w:numFmt w:val="decimal"/>
      <w:lvlText w:val="%6."/>
      <w:lvlJc w:val="left"/>
      <w:pPr>
        <w:ind w:left="3401" w:hanging="425"/>
      </w:pPr>
      <w:rPr>
        <w:rFonts w:ascii="Montserrat" w:eastAsia="Montserrat" w:hAnsi="Montserrat" w:cs="Montserrat"/>
        <w:color w:val="2D9CDB"/>
        <w:spacing w:val="-3"/>
        <w:sz w:val="20"/>
        <w:szCs w:val="20"/>
      </w:rPr>
    </w:lvl>
    <w:lvl w:ilvl="6" w:tplc="529E0FF0">
      <w:numFmt w:val="decimal"/>
      <w:lvlText w:val=""/>
      <w:lvlJc w:val="left"/>
    </w:lvl>
    <w:lvl w:ilvl="7" w:tplc="ECFAC6A4">
      <w:numFmt w:val="decimal"/>
      <w:lvlText w:val=""/>
      <w:lvlJc w:val="left"/>
    </w:lvl>
    <w:lvl w:ilvl="8" w:tplc="0EB8F166">
      <w:numFmt w:val="decimal"/>
      <w:lvlText w:val=""/>
      <w:lvlJc w:val="left"/>
    </w:lvl>
  </w:abstractNum>
  <w:abstractNum w:abstractNumId="2" w15:restartNumberingAfterBreak="0">
    <w:nsid w:val="3B2943FD"/>
    <w:multiLevelType w:val="hybridMultilevel"/>
    <w:tmpl w:val="20B66E34"/>
    <w:lvl w:ilvl="0" w:tplc="5FF6EF32">
      <w:start w:val="1"/>
      <w:numFmt w:val="decimal"/>
      <w:lvlText w:val="%1."/>
      <w:lvlJc w:val="left"/>
      <w:pPr>
        <w:ind w:left="566" w:hanging="425"/>
      </w:pPr>
      <w:rPr>
        <w:rFonts w:ascii="Amiri" w:eastAsia="Amiri" w:hAnsi="Amiri" w:cs="Amiri"/>
        <w:color w:val="2D9CDB"/>
        <w:spacing w:val="0"/>
        <w:sz w:val="24"/>
        <w:szCs w:val="24"/>
      </w:rPr>
    </w:lvl>
    <w:lvl w:ilvl="1" w:tplc="E898BBCE">
      <w:start w:val="1"/>
      <w:numFmt w:val="decimal"/>
      <w:lvlText w:val="%2."/>
      <w:lvlJc w:val="left"/>
      <w:pPr>
        <w:ind w:left="1133" w:hanging="425"/>
      </w:pPr>
      <w:rPr>
        <w:rFonts w:ascii="Amiri" w:eastAsia="Amiri" w:hAnsi="Amiri" w:cs="Amiri"/>
        <w:color w:val="2D9CDB"/>
        <w:spacing w:val="0"/>
        <w:sz w:val="24"/>
        <w:szCs w:val="24"/>
      </w:rPr>
    </w:lvl>
    <w:lvl w:ilvl="2" w:tplc="6D40A3A6">
      <w:start w:val="1"/>
      <w:numFmt w:val="decimal"/>
      <w:lvlText w:val="%3."/>
      <w:lvlJc w:val="left"/>
      <w:pPr>
        <w:ind w:left="1700" w:hanging="425"/>
      </w:pPr>
      <w:rPr>
        <w:rFonts w:ascii="Amiri" w:eastAsia="Amiri" w:hAnsi="Amiri" w:cs="Amiri"/>
        <w:color w:val="2D9CDB"/>
        <w:spacing w:val="0"/>
        <w:sz w:val="24"/>
        <w:szCs w:val="24"/>
      </w:rPr>
    </w:lvl>
    <w:lvl w:ilvl="3" w:tplc="B2700CF6">
      <w:start w:val="1"/>
      <w:numFmt w:val="decimal"/>
      <w:lvlText w:val="%4."/>
      <w:lvlJc w:val="left"/>
      <w:pPr>
        <w:ind w:left="2267" w:hanging="425"/>
      </w:pPr>
      <w:rPr>
        <w:rFonts w:ascii="Amiri" w:eastAsia="Amiri" w:hAnsi="Amiri" w:cs="Amiri"/>
        <w:color w:val="2D9CDB"/>
        <w:spacing w:val="0"/>
        <w:sz w:val="24"/>
        <w:szCs w:val="24"/>
      </w:rPr>
    </w:lvl>
    <w:lvl w:ilvl="4" w:tplc="BF187D5C">
      <w:start w:val="1"/>
      <w:numFmt w:val="decimal"/>
      <w:lvlText w:val="%5."/>
      <w:lvlJc w:val="left"/>
      <w:pPr>
        <w:ind w:left="2834" w:hanging="425"/>
      </w:pPr>
      <w:rPr>
        <w:rFonts w:ascii="Amiri" w:eastAsia="Amiri" w:hAnsi="Amiri" w:cs="Amiri"/>
        <w:color w:val="2D9CDB"/>
        <w:spacing w:val="0"/>
        <w:sz w:val="24"/>
        <w:szCs w:val="24"/>
      </w:rPr>
    </w:lvl>
    <w:lvl w:ilvl="5" w:tplc="9432A6CE">
      <w:start w:val="1"/>
      <w:numFmt w:val="decimal"/>
      <w:lvlText w:val="%6."/>
      <w:lvlJc w:val="left"/>
      <w:pPr>
        <w:ind w:left="3401" w:hanging="425"/>
      </w:pPr>
      <w:rPr>
        <w:rFonts w:ascii="Amiri" w:eastAsia="Amiri" w:hAnsi="Amiri" w:cs="Amiri"/>
        <w:color w:val="2D9CDB"/>
        <w:spacing w:val="0"/>
        <w:sz w:val="24"/>
        <w:szCs w:val="24"/>
      </w:rPr>
    </w:lvl>
    <w:lvl w:ilvl="6" w:tplc="AFCE1B5C">
      <w:numFmt w:val="decimal"/>
      <w:lvlText w:val=""/>
      <w:lvlJc w:val="left"/>
    </w:lvl>
    <w:lvl w:ilvl="7" w:tplc="F0EC18EE">
      <w:numFmt w:val="decimal"/>
      <w:lvlText w:val=""/>
      <w:lvlJc w:val="left"/>
    </w:lvl>
    <w:lvl w:ilvl="8" w:tplc="B69296B4">
      <w:numFmt w:val="decimal"/>
      <w:lvlText w:val=""/>
      <w:lvlJc w:val="left"/>
    </w:lvl>
  </w:abstractNum>
  <w:abstractNum w:abstractNumId="3" w15:restartNumberingAfterBreak="0">
    <w:nsid w:val="781E6BBF"/>
    <w:multiLevelType w:val="hybridMultilevel"/>
    <w:tmpl w:val="AC6C4ECC"/>
    <w:lvl w:ilvl="0" w:tplc="4D702820">
      <w:start w:val="1"/>
      <w:numFmt w:val="bullet"/>
      <w:lvlText w:val="●"/>
      <w:lvlJc w:val="left"/>
      <w:pPr>
        <w:ind w:left="566" w:hanging="425"/>
      </w:pPr>
      <w:rPr>
        <w:rFonts w:ascii="Montserrat" w:eastAsia="Montserrat" w:hAnsi="Montserrat" w:cs="Montserrat"/>
        <w:color w:val="484B4F"/>
        <w:spacing w:val="-3"/>
        <w:sz w:val="20"/>
        <w:szCs w:val="20"/>
      </w:rPr>
    </w:lvl>
    <w:lvl w:ilvl="1" w:tplc="B0C27240">
      <w:start w:val="1"/>
      <w:numFmt w:val="bullet"/>
      <w:lvlText w:val="○"/>
      <w:lvlJc w:val="left"/>
      <w:pPr>
        <w:ind w:left="1133" w:hanging="425"/>
      </w:pPr>
      <w:rPr>
        <w:rFonts w:ascii="Montserrat" w:eastAsia="Montserrat" w:hAnsi="Montserrat" w:cs="Montserrat"/>
        <w:color w:val="484B4F"/>
        <w:spacing w:val="-3"/>
        <w:sz w:val="20"/>
        <w:szCs w:val="20"/>
      </w:rPr>
    </w:lvl>
    <w:lvl w:ilvl="2" w:tplc="66C04352">
      <w:start w:val="1"/>
      <w:numFmt w:val="bullet"/>
      <w:lvlText w:val="●"/>
      <w:lvlJc w:val="left"/>
      <w:pPr>
        <w:ind w:left="1700" w:hanging="425"/>
      </w:pPr>
      <w:rPr>
        <w:rFonts w:ascii="Montserrat" w:eastAsia="Montserrat" w:hAnsi="Montserrat" w:cs="Montserrat"/>
        <w:color w:val="484B4F"/>
        <w:spacing w:val="-3"/>
        <w:sz w:val="20"/>
        <w:szCs w:val="20"/>
      </w:rPr>
    </w:lvl>
    <w:lvl w:ilvl="3" w:tplc="16AC47CC">
      <w:start w:val="1"/>
      <w:numFmt w:val="bullet"/>
      <w:lvlText w:val="○"/>
      <w:lvlJc w:val="left"/>
      <w:pPr>
        <w:ind w:left="2267" w:hanging="425"/>
      </w:pPr>
      <w:rPr>
        <w:rFonts w:ascii="Montserrat" w:eastAsia="Montserrat" w:hAnsi="Montserrat" w:cs="Montserrat"/>
        <w:color w:val="484B4F"/>
        <w:spacing w:val="-3"/>
        <w:sz w:val="20"/>
        <w:szCs w:val="20"/>
      </w:rPr>
    </w:lvl>
    <w:lvl w:ilvl="4" w:tplc="CAD61164">
      <w:start w:val="1"/>
      <w:numFmt w:val="bullet"/>
      <w:lvlText w:val="●"/>
      <w:lvlJc w:val="left"/>
      <w:pPr>
        <w:ind w:left="2834" w:hanging="425"/>
      </w:pPr>
      <w:rPr>
        <w:rFonts w:ascii="Montserrat" w:eastAsia="Montserrat" w:hAnsi="Montserrat" w:cs="Montserrat"/>
        <w:color w:val="484B4F"/>
        <w:spacing w:val="-3"/>
        <w:sz w:val="20"/>
        <w:szCs w:val="20"/>
      </w:rPr>
    </w:lvl>
    <w:lvl w:ilvl="5" w:tplc="9E7812A8">
      <w:start w:val="1"/>
      <w:numFmt w:val="bullet"/>
      <w:lvlText w:val="○"/>
      <w:lvlJc w:val="left"/>
      <w:pPr>
        <w:ind w:left="3401" w:hanging="425"/>
      </w:pPr>
      <w:rPr>
        <w:rFonts w:ascii="Montserrat" w:eastAsia="Montserrat" w:hAnsi="Montserrat" w:cs="Montserrat"/>
        <w:color w:val="484B4F"/>
        <w:spacing w:val="-3"/>
        <w:sz w:val="20"/>
        <w:szCs w:val="20"/>
      </w:rPr>
    </w:lvl>
    <w:lvl w:ilvl="6" w:tplc="F9D4DA82">
      <w:numFmt w:val="decimal"/>
      <w:lvlText w:val=""/>
      <w:lvlJc w:val="left"/>
    </w:lvl>
    <w:lvl w:ilvl="7" w:tplc="5E3C7FCC">
      <w:numFmt w:val="decimal"/>
      <w:lvlText w:val=""/>
      <w:lvlJc w:val="left"/>
    </w:lvl>
    <w:lvl w:ilvl="8" w:tplc="439AF336">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60"/>
    <w:rsid w:val="00153E77"/>
    <w:rsid w:val="00223E9F"/>
    <w:rsid w:val="007E57B6"/>
    <w:rsid w:val="0084304D"/>
    <w:rsid w:val="009778D0"/>
    <w:rsid w:val="00A95760"/>
    <w:rsid w:val="00D3156A"/>
    <w:rsid w:val="00FF21B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551D"/>
  <w15:docId w15:val="{87753CD2-6E6A-4AC1-9FDB-41873627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oceanoflights.org/bahaullah-st-085-3-en" TargetMode="External"/><Relationship Id="rId1" Type="http://schemas.openxmlformats.org/officeDocument/2006/relationships/image" Target="media/image2.png"/><Relationship Id="rId6" Type="http://schemas.openxmlformats.org/officeDocument/2006/relationships/hyperlink" Target="https://oceanoflights.org" TargetMode="External"/><Relationship Id="rId5" Type="http://schemas.openxmlformats.org/officeDocument/2006/relationships/image" Target="media/image4.png"/><Relationship Id="rId4" Type="http://schemas.openxmlformats.org/officeDocument/2006/relationships/hyperlink" Target="https://oceanoflights.org/bahaullah-st-085-3-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لوح زين المقربين ۳</vt:lpstr>
    </vt:vector>
  </TitlesOfParts>
  <Company>SCC Soft Computer</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زين المقربين ۳</dc:title>
  <dc:creator>Ocean of Lights</dc:creator>
  <cp:lastModifiedBy>Liliane Saberin</cp:lastModifiedBy>
  <cp:revision>2</cp:revision>
  <dcterms:created xsi:type="dcterms:W3CDTF">2025-02-19T19:59:00Z</dcterms:created>
  <dcterms:modified xsi:type="dcterms:W3CDTF">2025-02-19T19:59:00Z</dcterms:modified>
</cp:coreProperties>
</file>